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6C369" w14:textId="77777777" w:rsidR="003A5FD9" w:rsidRDefault="003A5FD9">
      <w:pPr>
        <w:jc w:val="both"/>
        <w:rPr>
          <w:rFonts w:ascii="Times New Roman CYR" w:hAnsi="Times New Roman CYR" w:cs="Calibri"/>
          <w:color w:val="004DBB"/>
          <w:sz w:val="22"/>
          <w:szCs w:val="24"/>
          <w:lang w:val="en-US" w:eastAsia="en-US"/>
        </w:rPr>
      </w:pPr>
    </w:p>
    <w:tbl>
      <w:tblPr>
        <w:tblpPr w:leftFromText="181" w:rightFromText="181" w:vertAnchor="text" w:tblpX="2" w:tblpY="2"/>
        <w:tblW w:w="540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874"/>
        <w:gridCol w:w="3986"/>
        <w:gridCol w:w="990"/>
        <w:gridCol w:w="2959"/>
      </w:tblGrid>
      <w:tr w:rsidR="003A5FD9" w14:paraId="44BA171D" w14:textId="77777777">
        <w:trPr>
          <w:trHeight w:val="39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23A0B0" w14:textId="77777777" w:rsidR="003A5FD9" w:rsidRDefault="003A5FD9">
            <w:pPr>
              <w:rPr>
                <w:sz w:val="20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D8380F" w14:textId="77777777" w:rsidR="003A5FD9" w:rsidRDefault="003A5FD9">
            <w:pPr>
              <w:rPr>
                <w:rFonts w:cs="Calibri"/>
                <w:sz w:val="20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B7329" w14:textId="77777777" w:rsidR="003A5FD9" w:rsidRDefault="003A5FD9">
            <w:pPr>
              <w:jc w:val="center"/>
              <w:rPr>
                <w:rFonts w:ascii="Times New Roman" w:hAnsi="Times New Roman" w:cs="Calibri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ПОЯСНИТЕЛЬНАЯ ЗАПИСКА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ADD252" w14:textId="77777777" w:rsidR="003A5FD9" w:rsidRDefault="003A5FD9">
            <w:pPr>
              <w:rPr>
                <w:sz w:val="20"/>
                <w:szCs w:val="24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6A793E" w14:textId="77777777" w:rsidR="003A5FD9" w:rsidRDefault="003A5FD9">
            <w:pPr>
              <w:rPr>
                <w:rFonts w:cs="Calibri"/>
                <w:sz w:val="20"/>
                <w:szCs w:val="24"/>
              </w:rPr>
            </w:pPr>
          </w:p>
        </w:tc>
      </w:tr>
      <w:tr w:rsidR="003A5FD9" w14:paraId="76F005FD" w14:textId="77777777">
        <w:trPr>
          <w:trHeight w:val="39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159A57" w14:textId="77777777" w:rsidR="003A5FD9" w:rsidRDefault="003A5FD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EB72D" w14:textId="77777777" w:rsidR="003A5FD9" w:rsidRDefault="003A5FD9">
            <w:pPr>
              <w:rPr>
                <w:rFonts w:ascii="Times New Roman" w:hAnsi="Times New Roman" w:cs="Calibri"/>
                <w:sz w:val="20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5FC55" w14:textId="77777777" w:rsidR="003A5FD9" w:rsidRDefault="003A5FD9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E318E" w14:textId="77777777" w:rsidR="003A5FD9" w:rsidRDefault="003A5FD9">
            <w:pPr>
              <w:jc w:val="right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Calibri"/>
                <w:color w:val="000000"/>
                <w:sz w:val="28"/>
                <w:szCs w:val="24"/>
              </w:rPr>
              <w:t> 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FFBEA" w14:textId="77777777" w:rsidR="003A5FD9" w:rsidRDefault="003A5FD9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Calibri"/>
                <w:color w:val="000000"/>
                <w:sz w:val="22"/>
                <w:szCs w:val="24"/>
              </w:rPr>
              <w:t>КОДЫ</w:t>
            </w:r>
          </w:p>
        </w:tc>
      </w:tr>
      <w:tr w:rsidR="003A5FD9" w14:paraId="59751D14" w14:textId="77777777">
        <w:trPr>
          <w:trHeight w:val="30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22ADC6" w14:textId="77777777" w:rsidR="003A5FD9" w:rsidRDefault="003A5FD9">
            <w:pPr>
              <w:rPr>
                <w:rFonts w:ascii="Times New Roman" w:hAnsi="Times New Roman" w:cs="Calibri"/>
                <w:sz w:val="20"/>
                <w:szCs w:val="24"/>
              </w:rPr>
            </w:pPr>
          </w:p>
        </w:tc>
        <w:tc>
          <w:tcPr>
            <w:tcW w:w="416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1704D" w14:textId="77777777" w:rsidR="003A5FD9" w:rsidRDefault="003A5FD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E1F0D" w14:textId="77777777" w:rsidR="003A5FD9" w:rsidRDefault="003A5FD9">
            <w:pPr>
              <w:jc w:val="center"/>
              <w:rPr>
                <w:rFonts w:ascii="Times New Roman" w:hAnsi="Times New Roman" w:cs="Calibri"/>
                <w:color w:val="000000"/>
                <w:sz w:val="28"/>
                <w:szCs w:val="24"/>
                <w:u w:val="single"/>
              </w:rPr>
            </w:pPr>
            <w:r>
              <w:rPr>
                <w:rFonts w:ascii="Times New Roman" w:hAnsi="Times New Roman" w:cs="Calibri"/>
                <w:sz w:val="18"/>
                <w:szCs w:val="24"/>
              </w:rPr>
              <w:t>на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sz w:val="18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24"/>
                <w:lang w:val="en-US" w:eastAsia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18"/>
                <w:szCs w:val="24"/>
                <w:lang w:val="en-US" w:eastAsia="en-US"/>
              </w:rPr>
              <w:t>января</w:t>
            </w:r>
            <w:proofErr w:type="spellEnd"/>
            <w:r>
              <w:rPr>
                <w:rFonts w:ascii="Times New Roman" w:hAnsi="Times New Roman"/>
                <w:sz w:val="18"/>
                <w:szCs w:val="24"/>
                <w:lang w:val="en-US" w:eastAsia="en-US"/>
              </w:rPr>
              <w:t xml:space="preserve"> 2026</w:t>
            </w:r>
            <w:r>
              <w:rPr>
                <w:rFonts w:ascii="Times New Roman" w:hAnsi="Times New Roman" w:cs="Calibri"/>
                <w:sz w:val="22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4"/>
              </w:rPr>
              <w:t>года</w:t>
            </w: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A10D5" w14:textId="77777777" w:rsidR="003A5FD9" w:rsidRDefault="003A5FD9">
            <w:pPr>
              <w:jc w:val="right"/>
              <w:rPr>
                <w:rFonts w:ascii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>Форма по ОКУД</w:t>
            </w:r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4B6C8" w14:textId="77777777" w:rsidR="003A5FD9" w:rsidRDefault="003A5FD9">
            <w:pPr>
              <w:jc w:val="center"/>
              <w:rPr>
                <w:rFonts w:ascii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>0503160</w:t>
            </w:r>
          </w:p>
        </w:tc>
      </w:tr>
      <w:tr w:rsidR="003A5FD9" w14:paraId="3A4076C5" w14:textId="77777777">
        <w:trPr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E95D02" w14:textId="77777777" w:rsidR="003A5FD9" w:rsidRDefault="003A5FD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16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20047" w14:textId="77777777" w:rsidR="003A5FD9" w:rsidRDefault="003A5FD9">
            <w:pPr>
              <w:rPr>
                <w:rFonts w:ascii="Times New Roman" w:hAnsi="Times New Roman" w:cs="Calibri"/>
                <w:sz w:val="20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162A9" w14:textId="77777777" w:rsidR="003A5FD9" w:rsidRDefault="003A5FD9">
            <w:pPr>
              <w:rPr>
                <w:rFonts w:ascii="Times New Roman" w:hAnsi="Times New Roman"/>
                <w:color w:val="000000"/>
                <w:sz w:val="28"/>
                <w:szCs w:val="24"/>
                <w:u w:val="single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2B014" w14:textId="77777777" w:rsidR="003A5FD9" w:rsidRDefault="003A5FD9">
            <w:pPr>
              <w:rPr>
                <w:rFonts w:ascii="Times New Roman" w:hAnsi="Times New Roman" w:cs="Calibri"/>
                <w:color w:val="000000"/>
                <w:sz w:val="22"/>
                <w:szCs w:val="24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9E26D" w14:textId="77777777" w:rsidR="003A5FD9" w:rsidRDefault="003A5FD9">
            <w:pPr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3A5FD9" w14:paraId="5EFF51A1" w14:textId="77777777">
        <w:trPr>
          <w:trHeight w:val="39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19311E" w14:textId="77777777" w:rsidR="003A5FD9" w:rsidRDefault="003A5FD9">
            <w:pPr>
              <w:rPr>
                <w:rFonts w:ascii="Times New Roman" w:hAnsi="Times New Roman" w:cs="Calibri"/>
                <w:sz w:val="20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E25AA" w14:textId="77777777" w:rsidR="003A5FD9" w:rsidRDefault="003A5FD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7B576" w14:textId="77777777" w:rsidR="003A5FD9" w:rsidRDefault="003A5FD9">
            <w:pPr>
              <w:rPr>
                <w:rFonts w:ascii="Times New Roman" w:hAnsi="Times New Roman" w:cs="Calibri"/>
                <w:sz w:val="20"/>
                <w:szCs w:val="24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94D61" w14:textId="77777777" w:rsidR="003A5FD9" w:rsidRDefault="003A5FD9">
            <w:pPr>
              <w:jc w:val="right"/>
              <w:rPr>
                <w:rFonts w:ascii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>Дата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A5016" w14:textId="77777777" w:rsidR="003A5FD9" w:rsidRDefault="003A5FD9">
            <w:pPr>
              <w:jc w:val="center"/>
              <w:rPr>
                <w:rFonts w:ascii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01.01.2026</w:t>
            </w:r>
          </w:p>
        </w:tc>
      </w:tr>
      <w:tr w:rsidR="003A5FD9" w14:paraId="6066BC18" w14:textId="77777777">
        <w:trPr>
          <w:trHeight w:val="360"/>
        </w:trPr>
        <w:tc>
          <w:tcPr>
            <w:tcW w:w="1223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B6E3A" w14:textId="77777777" w:rsidR="003A5FD9" w:rsidRDefault="003A5FD9">
            <w:pPr>
              <w:rPr>
                <w:rFonts w:ascii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>Главный распорядитель, распорядитель, получатель бюджетных средств, главный администратор, администратор доходов бюджета, главный администратор, администратор источников финансирования дефицита бюджета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04749" w14:textId="77777777" w:rsidR="003A5FD9" w:rsidRDefault="003A5FD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BBFC5" w14:textId="77777777" w:rsidR="003A5FD9" w:rsidRDefault="003A5FD9">
            <w:pPr>
              <w:jc w:val="right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Calibri"/>
                <w:color w:val="000000"/>
                <w:sz w:val="22"/>
                <w:szCs w:val="24"/>
              </w:rPr>
              <w:t>по ОКПО</w:t>
            </w:r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8B2F9" w14:textId="77777777" w:rsidR="003A5FD9" w:rsidRDefault="003A5FD9">
            <w:pPr>
              <w:jc w:val="center"/>
              <w:rPr>
                <w:rFonts w:ascii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Calibri"/>
                <w:sz w:val="22"/>
                <w:szCs w:val="24"/>
              </w:rPr>
              <w:br/>
            </w:r>
            <w:r>
              <w:rPr>
                <w:rFonts w:ascii="Times New Roman" w:hAnsi="Times New Roman"/>
                <w:sz w:val="20"/>
                <w:szCs w:val="24"/>
              </w:rPr>
              <w:t>39576667</w:t>
            </w:r>
          </w:p>
        </w:tc>
      </w:tr>
      <w:tr w:rsidR="003A5FD9" w14:paraId="5F17E495" w14:textId="77777777">
        <w:trPr>
          <w:trHeight w:val="375"/>
        </w:trPr>
        <w:tc>
          <w:tcPr>
            <w:tcW w:w="122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AC30D" w14:textId="77777777" w:rsidR="003A5FD9" w:rsidRDefault="003A5FD9">
            <w:pPr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9BDDD" w14:textId="77777777" w:rsidR="003A5FD9" w:rsidRDefault="003A5FD9">
            <w:pPr>
              <w:rPr>
                <w:rFonts w:ascii="Times New Roman" w:hAnsi="Times New Roman" w:cs="Calibri"/>
                <w:sz w:val="20"/>
                <w:szCs w:val="24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58F97" w14:textId="77777777" w:rsidR="003A5FD9" w:rsidRDefault="003A5FD9">
            <w:pPr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27890" w14:textId="77777777" w:rsidR="003A5FD9" w:rsidRDefault="003A5FD9">
            <w:pPr>
              <w:rPr>
                <w:rFonts w:ascii="Times New Roman" w:hAnsi="Times New Roman" w:cs="Calibri"/>
                <w:color w:val="000000"/>
                <w:sz w:val="22"/>
                <w:szCs w:val="24"/>
              </w:rPr>
            </w:pPr>
          </w:p>
        </w:tc>
      </w:tr>
      <w:tr w:rsidR="003A5FD9" w14:paraId="6DAB3506" w14:textId="77777777">
        <w:trPr>
          <w:trHeight w:val="375"/>
        </w:trPr>
        <w:tc>
          <w:tcPr>
            <w:tcW w:w="122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911C7" w14:textId="77777777" w:rsidR="003A5FD9" w:rsidRDefault="003A5FD9">
            <w:pPr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BDD7B" w14:textId="77777777" w:rsidR="003A5FD9" w:rsidRDefault="003A5FD9">
            <w:pPr>
              <w:rPr>
                <w:rFonts w:ascii="Times New Roman" w:hAnsi="Times New Roman" w:cs="Calibri"/>
                <w:sz w:val="20"/>
                <w:szCs w:val="24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C7786" w14:textId="77777777" w:rsidR="003A5FD9" w:rsidRDefault="003A5FD9">
            <w:pPr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2203A" w14:textId="77777777" w:rsidR="003A5FD9" w:rsidRDefault="003A5FD9">
            <w:pPr>
              <w:rPr>
                <w:rFonts w:ascii="Times New Roman" w:hAnsi="Times New Roman" w:cs="Calibri"/>
                <w:color w:val="000000"/>
                <w:sz w:val="22"/>
                <w:szCs w:val="24"/>
              </w:rPr>
            </w:pPr>
          </w:p>
        </w:tc>
      </w:tr>
      <w:tr w:rsidR="003A5FD9" w14:paraId="1CED6349" w14:textId="77777777">
        <w:trPr>
          <w:trHeight w:val="390"/>
        </w:trPr>
        <w:tc>
          <w:tcPr>
            <w:tcW w:w="122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E0CDB" w14:textId="77777777" w:rsidR="003A5FD9" w:rsidRDefault="003A5FD9">
            <w:pPr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01A22" w14:textId="77777777" w:rsidR="003A5FD9" w:rsidRDefault="003A5FD9">
            <w:pPr>
              <w:rPr>
                <w:rFonts w:ascii="Times New Roman" w:hAnsi="Times New Roman" w:cs="Calibri"/>
                <w:sz w:val="20"/>
                <w:szCs w:val="24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74565" w14:textId="77777777" w:rsidR="003A5FD9" w:rsidRDefault="003A5FD9">
            <w:pPr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E12A1" w14:textId="77777777" w:rsidR="003A5FD9" w:rsidRDefault="003A5FD9">
            <w:pPr>
              <w:rPr>
                <w:rFonts w:ascii="Times New Roman" w:hAnsi="Times New Roman" w:cs="Calibri"/>
                <w:color w:val="000000"/>
                <w:sz w:val="22"/>
                <w:szCs w:val="24"/>
              </w:rPr>
            </w:pPr>
          </w:p>
        </w:tc>
      </w:tr>
      <w:tr w:rsidR="003A5FD9" w14:paraId="1F5BE508" w14:textId="77777777">
        <w:trPr>
          <w:trHeight w:val="1785"/>
        </w:trPr>
        <w:tc>
          <w:tcPr>
            <w:tcW w:w="122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6B538" w14:textId="77777777" w:rsidR="003A5FD9" w:rsidRDefault="003A5FD9">
            <w:pPr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30D0B" w14:textId="77777777" w:rsidR="003A5FD9" w:rsidRDefault="003A5FD9">
            <w:pPr>
              <w:rPr>
                <w:rFonts w:ascii="Times New Roman" w:hAnsi="Times New Roman" w:cs="Calibri"/>
                <w:b/>
                <w:color w:val="000000"/>
                <w:sz w:val="28"/>
                <w:szCs w:val="24"/>
              </w:rPr>
            </w:pPr>
            <w:r w:rsidRPr="00C00649">
              <w:rPr>
                <w:rFonts w:ascii="Times New Roman" w:hAnsi="Times New Roman" w:cs="Calibri"/>
                <w:color w:val="000000"/>
                <w:sz w:val="22"/>
                <w:szCs w:val="24"/>
                <w:lang w:eastAsia="en-US"/>
              </w:rPr>
              <w:t>Аппарат Совета депутатов внутригородского муниципального образования – муниципального округа Даниловский в городе Москве</w:t>
            </w:r>
            <w:r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847D2" w14:textId="77777777" w:rsidR="003A5FD9" w:rsidRDefault="003A5FD9">
            <w:pPr>
              <w:jc w:val="right"/>
              <w:rPr>
                <w:rFonts w:ascii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>Глава по БК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8218C" w14:textId="77777777" w:rsidR="003A5FD9" w:rsidRDefault="003A5FD9">
            <w:pPr>
              <w:jc w:val="center"/>
              <w:rPr>
                <w:rFonts w:ascii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  <w:lang w:val="en-US" w:eastAsia="en-US"/>
              </w:rPr>
              <w:t xml:space="preserve">900 </w:t>
            </w:r>
          </w:p>
        </w:tc>
      </w:tr>
      <w:tr w:rsidR="003A5FD9" w14:paraId="4BB6D0F3" w14:textId="77777777">
        <w:trPr>
          <w:trHeight w:val="983"/>
        </w:trPr>
        <w:tc>
          <w:tcPr>
            <w:tcW w:w="122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E3069" w14:textId="77777777" w:rsidR="003A5FD9" w:rsidRDefault="003A5FD9">
            <w:pPr>
              <w:rPr>
                <w:rFonts w:ascii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Наименование бюджета (публично-правового образования) 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43F114" w14:textId="77777777" w:rsidR="003A5FD9" w:rsidRDefault="003A5FD9">
            <w:pPr>
              <w:jc w:val="center"/>
              <w:rPr>
                <w:rFonts w:ascii="Times New Roman" w:hAnsi="Times New Roman" w:cs="Calibri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Бюджет города Москвы</w:t>
            </w: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46A4D" w14:textId="77777777" w:rsidR="003A5FD9" w:rsidRDefault="003A5FD9">
            <w:pPr>
              <w:jc w:val="right"/>
              <w:rPr>
                <w:rFonts w:ascii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>по ОКТМО</w:t>
            </w:r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EE43D" w14:textId="77777777" w:rsidR="003A5FD9" w:rsidRDefault="003A5FD9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>
              <w:rPr>
                <w:rStyle w:val="style461"/>
                <w:sz w:val="22"/>
                <w:szCs w:val="24"/>
                <w:lang w:val="en-US" w:eastAsia="en-US"/>
              </w:rPr>
              <w:t>45914000</w:t>
            </w:r>
            <w:r>
              <w:rPr>
                <w:rFonts w:ascii="Times New Roman" w:hAnsi="Times New Roman" w:cs="Calibri"/>
                <w:sz w:val="22"/>
                <w:szCs w:val="24"/>
                <w:lang w:val="en-US" w:eastAsia="en-US"/>
              </w:rPr>
              <w:t xml:space="preserve"> </w:t>
            </w:r>
          </w:p>
        </w:tc>
      </w:tr>
      <w:tr w:rsidR="003A5FD9" w14:paraId="7A2B0814" w14:textId="77777777">
        <w:trPr>
          <w:trHeight w:val="24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7ADD7C" w14:textId="77777777" w:rsidR="003A5FD9" w:rsidRDefault="003A5FD9">
            <w:pPr>
              <w:rPr>
                <w:rFonts w:ascii="Times New Roman" w:hAnsi="Times New Roman" w:cs="Calibri"/>
                <w:sz w:val="20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FA467" w14:textId="77777777" w:rsidR="003A5FD9" w:rsidRDefault="003A5FD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2F2C4" w14:textId="77777777" w:rsidR="003A5FD9" w:rsidRDefault="003A5FD9">
            <w:pPr>
              <w:rPr>
                <w:rFonts w:ascii="Times New Roman" w:hAnsi="Times New Roman" w:cs="Calibri"/>
                <w:sz w:val="20"/>
                <w:szCs w:val="24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7F988" w14:textId="77777777" w:rsidR="003A5FD9" w:rsidRDefault="003A5FD9">
            <w:pPr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CB650" w14:textId="77777777" w:rsidR="003A5FD9" w:rsidRDefault="003A5FD9">
            <w:pPr>
              <w:rPr>
                <w:rFonts w:ascii="Times New Roman" w:hAnsi="Times New Roman" w:cs="Calibri"/>
                <w:color w:val="000000"/>
                <w:sz w:val="22"/>
                <w:szCs w:val="24"/>
              </w:rPr>
            </w:pPr>
          </w:p>
        </w:tc>
      </w:tr>
      <w:tr w:rsidR="003A5FD9" w14:paraId="0F32223A" w14:textId="77777777">
        <w:trPr>
          <w:trHeight w:val="33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1F28E" w14:textId="77777777" w:rsidR="003A5FD9" w:rsidRDefault="003A5FD9">
            <w:pPr>
              <w:rPr>
                <w:rFonts w:ascii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Периодичность: 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32532" w14:textId="77777777" w:rsidR="003A5FD9" w:rsidRDefault="003A5FD9">
            <w:pPr>
              <w:rPr>
                <w:rFonts w:ascii="Times New Roman" w:hAnsi="Times New Roman" w:cs="Calibri"/>
                <w:color w:val="000000"/>
                <w:sz w:val="22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годовая</w:t>
            </w:r>
            <w:proofErr w:type="spellEnd"/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6F9C8" w14:textId="77777777" w:rsidR="003A5FD9" w:rsidRDefault="003A5FD9">
            <w:pPr>
              <w:jc w:val="right"/>
              <w:rPr>
                <w:rFonts w:ascii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948FE" w14:textId="77777777" w:rsidR="003A5FD9" w:rsidRDefault="003A5FD9">
            <w:pPr>
              <w:jc w:val="center"/>
              <w:rPr>
                <w:rFonts w:ascii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> </w:t>
            </w:r>
          </w:p>
        </w:tc>
      </w:tr>
      <w:tr w:rsidR="003A5FD9" w14:paraId="4F4C4430" w14:textId="77777777">
        <w:trPr>
          <w:trHeight w:val="450"/>
        </w:trPr>
        <w:tc>
          <w:tcPr>
            <w:tcW w:w="312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7B88E" w14:textId="77777777" w:rsidR="003A5FD9" w:rsidRDefault="003A5FD9">
            <w:pPr>
              <w:rPr>
                <w:rFonts w:ascii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>Единица измерения: руб.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FDCE0" w14:textId="77777777" w:rsidR="003A5FD9" w:rsidRDefault="003A5FD9">
            <w:pPr>
              <w:jc w:val="right"/>
              <w:rPr>
                <w:rFonts w:ascii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>по ОКЕИ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96D8B" w14:textId="77777777" w:rsidR="003A5FD9" w:rsidRDefault="003A5FD9">
            <w:pPr>
              <w:jc w:val="center"/>
              <w:rPr>
                <w:rFonts w:ascii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>383</w:t>
            </w:r>
          </w:p>
        </w:tc>
      </w:tr>
      <w:tr w:rsidR="003A5FD9" w14:paraId="4A825928" w14:textId="77777777">
        <w:trPr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0C559" w14:textId="77777777" w:rsidR="003A5FD9" w:rsidRDefault="003A5FD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FFADFD" w14:textId="77777777" w:rsidR="003A5FD9" w:rsidRDefault="003A5FD9">
            <w:pPr>
              <w:rPr>
                <w:rFonts w:ascii="Times New Roman" w:hAnsi="Times New Roman" w:cs="Calibri"/>
                <w:sz w:val="20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C2A7C4" w14:textId="77777777" w:rsidR="003A5FD9" w:rsidRDefault="003A5FD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AD06A" w14:textId="77777777" w:rsidR="003A5FD9" w:rsidRDefault="003A5FD9">
            <w:pPr>
              <w:rPr>
                <w:rFonts w:ascii="Times New Roman" w:hAnsi="Times New Roman" w:cs="Calibri"/>
                <w:sz w:val="20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A2D8D" w14:textId="77777777" w:rsidR="003A5FD9" w:rsidRDefault="003A5FD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3A5FD9" w14:paraId="74AD484F" w14:textId="77777777">
        <w:trPr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A332B2" w14:textId="77777777" w:rsidR="003A5FD9" w:rsidRDefault="003A5FD9">
            <w:pPr>
              <w:rPr>
                <w:rFonts w:cs="Calibri"/>
                <w:sz w:val="20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DC7E00" w14:textId="77777777" w:rsidR="003A5FD9" w:rsidRDefault="003A5FD9">
            <w:pPr>
              <w:rPr>
                <w:sz w:val="20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DAADB4" w14:textId="77777777" w:rsidR="003A5FD9" w:rsidRDefault="003A5FD9">
            <w:pPr>
              <w:rPr>
                <w:rFonts w:cs="Calibri"/>
                <w:sz w:val="20"/>
                <w:szCs w:val="24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4694DA" w14:textId="77777777" w:rsidR="003A5FD9" w:rsidRDefault="003A5FD9">
            <w:pPr>
              <w:rPr>
                <w:sz w:val="20"/>
                <w:szCs w:val="24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C94D74" w14:textId="77777777" w:rsidR="003A5FD9" w:rsidRDefault="003A5FD9">
            <w:pPr>
              <w:rPr>
                <w:rFonts w:cs="Calibri"/>
                <w:sz w:val="20"/>
                <w:szCs w:val="24"/>
              </w:rPr>
            </w:pPr>
          </w:p>
        </w:tc>
      </w:tr>
      <w:tr w:rsidR="003A5FD9" w14:paraId="1F067A94" w14:textId="77777777">
        <w:trPr>
          <w:gridAfter w:val="3"/>
          <w:wAfter w:w="3777" w:type="pct"/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BBF191" w14:textId="77777777" w:rsidR="003A5FD9" w:rsidRDefault="003A5FD9">
            <w:pPr>
              <w:rPr>
                <w:sz w:val="20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2F0CAF" w14:textId="77777777" w:rsidR="003A5FD9" w:rsidRDefault="003A5FD9">
            <w:pPr>
              <w:rPr>
                <w:rFonts w:cs="Calibri"/>
                <w:sz w:val="20"/>
                <w:szCs w:val="24"/>
              </w:rPr>
            </w:pPr>
          </w:p>
        </w:tc>
      </w:tr>
      <w:tr w:rsidR="003A5FD9" w14:paraId="6B1FE0AF" w14:textId="77777777">
        <w:trPr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9953E9" w14:textId="77777777" w:rsidR="003A5FD9" w:rsidRDefault="003A5FD9">
            <w:pPr>
              <w:rPr>
                <w:sz w:val="20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34EACF" w14:textId="77777777" w:rsidR="003A5FD9" w:rsidRDefault="003A5FD9">
            <w:pPr>
              <w:rPr>
                <w:rFonts w:cs="Calibri"/>
                <w:sz w:val="20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20E6E2" w14:textId="77777777" w:rsidR="003A5FD9" w:rsidRDefault="003A5FD9">
            <w:pPr>
              <w:rPr>
                <w:sz w:val="20"/>
                <w:szCs w:val="24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464437" w14:textId="77777777" w:rsidR="003A5FD9" w:rsidRDefault="003A5FD9">
            <w:pPr>
              <w:rPr>
                <w:rFonts w:cs="Calibri"/>
                <w:sz w:val="20"/>
                <w:szCs w:val="24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B3E333" w14:textId="77777777" w:rsidR="003A5FD9" w:rsidRDefault="003A5FD9">
            <w:pPr>
              <w:rPr>
                <w:sz w:val="20"/>
                <w:szCs w:val="24"/>
              </w:rPr>
            </w:pPr>
          </w:p>
        </w:tc>
      </w:tr>
      <w:tr w:rsidR="003A5FD9" w14:paraId="7BB7BE36" w14:textId="77777777">
        <w:trPr>
          <w:gridAfter w:val="3"/>
          <w:wAfter w:w="3777" w:type="pct"/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FB8C84" w14:textId="77777777" w:rsidR="003A5FD9" w:rsidRDefault="003A5FD9">
            <w:pPr>
              <w:rPr>
                <w:rFonts w:cs="Calibri"/>
                <w:sz w:val="20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4A7002" w14:textId="77777777" w:rsidR="003A5FD9" w:rsidRDefault="003A5FD9">
            <w:pPr>
              <w:rPr>
                <w:sz w:val="20"/>
                <w:szCs w:val="24"/>
              </w:rPr>
            </w:pPr>
          </w:p>
        </w:tc>
      </w:tr>
    </w:tbl>
    <w:p w14:paraId="53091461" w14:textId="77777777" w:rsidR="003A5FD9" w:rsidRDefault="003A5FD9">
      <w:pPr>
        <w:jc w:val="both"/>
        <w:rPr>
          <w:rFonts w:ascii="Times New Roman CYR" w:hAnsi="Times New Roman CYR" w:cs="Times New Roman CYR"/>
          <w:color w:val="004DBB"/>
          <w:sz w:val="22"/>
          <w:szCs w:val="24"/>
          <w:lang w:val="en-US" w:eastAsia="en-US"/>
        </w:rPr>
      </w:pPr>
    </w:p>
    <w:p w14:paraId="1E5FA355" w14:textId="77777777" w:rsidR="003A5FD9" w:rsidRDefault="003A5FD9">
      <w:pPr>
        <w:jc w:val="both"/>
        <w:rPr>
          <w:rFonts w:ascii="Times New Roman CYR" w:hAnsi="Times New Roman CYR" w:cs="Calibri"/>
          <w:color w:val="004DBB"/>
          <w:sz w:val="22"/>
          <w:szCs w:val="24"/>
          <w:lang w:val="en-US" w:eastAsia="en-US"/>
        </w:rPr>
      </w:pPr>
    </w:p>
    <w:p w14:paraId="5609C267" w14:textId="77777777" w:rsidR="003A5FD9" w:rsidRDefault="003A5FD9">
      <w:pPr>
        <w:jc w:val="both"/>
        <w:rPr>
          <w:rFonts w:ascii="Times New Roman CYR" w:hAnsi="Times New Roman CYR" w:cs="Calibri"/>
          <w:color w:val="004DBB"/>
          <w:sz w:val="22"/>
          <w:szCs w:val="24"/>
          <w:lang w:val="en-US" w:eastAsia="en-US"/>
        </w:rPr>
      </w:pPr>
    </w:p>
    <w:p w14:paraId="4F73D10B" w14:textId="77777777" w:rsidR="003A5FD9" w:rsidRDefault="003A5FD9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>Раздел 1 «Организационная структура субъекта бюджетной отчетности»</w:t>
      </w:r>
      <w:r>
        <w:rPr>
          <w:rFonts w:ascii="Times New Roman" w:hAnsi="Times New Roman" w:cs="Calibri"/>
          <w:sz w:val="28"/>
          <w:szCs w:val="24"/>
        </w:rPr>
        <w:t xml:space="preserve"> </w:t>
      </w: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3A5FD9" w:rsidRPr="00C00649" w14:paraId="0E41117B" w14:textId="77777777" w:rsidTr="00C00649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92774DB" w14:textId="77777777" w:rsidR="003A5FD9" w:rsidRPr="00C00649" w:rsidRDefault="003A5FD9" w:rsidP="00C00649">
            <w:pPr>
              <w:ind w:right="34"/>
              <w:jc w:val="both"/>
              <w:rPr>
                <w:rFonts w:ascii="Times New Roman" w:hAnsi="Times New Roman"/>
                <w:szCs w:val="24"/>
              </w:rPr>
            </w:pPr>
          </w:p>
          <w:p w14:paraId="69BAB193" w14:textId="77777777" w:rsidR="003A5FD9" w:rsidRPr="00C00649" w:rsidRDefault="003A5FD9" w:rsidP="00C00649">
            <w:pPr>
              <w:ind w:right="34"/>
              <w:jc w:val="both"/>
              <w:rPr>
                <w:rFonts w:ascii="Times New Roman" w:hAnsi="Times New Roman"/>
                <w:b/>
                <w:szCs w:val="24"/>
              </w:rPr>
            </w:pPr>
            <w:r w:rsidRPr="00C00649">
              <w:rPr>
                <w:rFonts w:ascii="Times New Roman" w:hAnsi="Times New Roman" w:cs="Calibri"/>
                <w:b/>
                <w:szCs w:val="24"/>
              </w:rPr>
              <w:t>Сведения об изменениях наименования субъекта консолидированной отчетности за отчетный период, если такие изменения производились</w:t>
            </w:r>
          </w:p>
          <w:p w14:paraId="3A3B4133" w14:textId="77777777" w:rsidR="003A5FD9" w:rsidRPr="00C00649" w:rsidRDefault="003A5FD9" w:rsidP="00C00649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hAnsi="Times New Roman" w:cs="Calibri"/>
                <w:szCs w:val="24"/>
              </w:rPr>
            </w:pPr>
          </w:p>
        </w:tc>
      </w:tr>
      <w:tr w:rsidR="003A5FD9" w:rsidRPr="00C00649" w14:paraId="7CFAD61C" w14:textId="77777777" w:rsidTr="00C00649">
        <w:trPr>
          <w:trHeight w:val="336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14847E3" w14:textId="77777777" w:rsidR="003A5FD9" w:rsidRPr="00C00649" w:rsidRDefault="003A5FD9" w:rsidP="00C00649">
            <w:pPr>
              <w:ind w:right="34"/>
              <w:jc w:val="both"/>
              <w:rPr>
                <w:rFonts w:ascii="Times New Roman" w:hAnsi="Times New Roman" w:cs="Calibri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szCs w:val="24"/>
              </w:rPr>
              <w:t>В течение 2025 года изменения в наименование ВМО Даниловский не вносилось.</w:t>
            </w:r>
          </w:p>
        </w:tc>
      </w:tr>
      <w:tr w:rsidR="003A5FD9" w:rsidRPr="00C00649" w14:paraId="75524BAD" w14:textId="77777777" w:rsidTr="00C00649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DF4D9BF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78E5C75F" w14:textId="77777777" w:rsidTr="00C00649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12E1D23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</w:p>
          <w:p w14:paraId="1120BA22" w14:textId="77777777" w:rsidR="003A5FD9" w:rsidRPr="00C00649" w:rsidRDefault="003A5FD9" w:rsidP="00C00649">
            <w:pPr>
              <w:ind w:right="34"/>
              <w:jc w:val="both"/>
              <w:rPr>
                <w:rFonts w:ascii="Times New Roman" w:hAnsi="Times New Roman"/>
                <w:b/>
                <w:szCs w:val="24"/>
              </w:rPr>
            </w:pPr>
            <w:r w:rsidRPr="00C00649">
              <w:rPr>
                <w:rFonts w:ascii="Times New Roman" w:hAnsi="Times New Roman" w:cs="Calibri"/>
                <w:b/>
                <w:szCs w:val="24"/>
              </w:rPr>
              <w:t>Наименование органа, осуществляющего внешний государственный (муниципальный) финансовый контроль</w:t>
            </w:r>
          </w:p>
          <w:p w14:paraId="2F916BEA" w14:textId="77777777" w:rsidR="003A5FD9" w:rsidRPr="00C00649" w:rsidRDefault="003A5FD9" w:rsidP="00C00649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hAnsi="Times New Roman" w:cs="Calibri"/>
                <w:szCs w:val="24"/>
              </w:rPr>
            </w:pPr>
          </w:p>
        </w:tc>
      </w:tr>
      <w:tr w:rsidR="003A5FD9" w:rsidRPr="00C00649" w14:paraId="071896F1" w14:textId="77777777" w:rsidTr="00C00649">
        <w:trPr>
          <w:trHeight w:val="336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21E7FC6" w14:textId="77777777" w:rsidR="003A5FD9" w:rsidRPr="00C00649" w:rsidRDefault="003A5FD9" w:rsidP="00C00649">
            <w:pPr>
              <w:ind w:right="34"/>
              <w:jc w:val="both"/>
              <w:rPr>
                <w:rFonts w:ascii="Times New Roman" w:hAnsi="Times New Roman" w:cs="Calibri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szCs w:val="24"/>
              </w:rPr>
              <w:lastRenderedPageBreak/>
              <w:t>Органом, осуществляющим внешний государственный (муниципальный) финансовый контроль, является Контрольно-счетная палата города Москвы.</w:t>
            </w:r>
          </w:p>
        </w:tc>
      </w:tr>
      <w:tr w:rsidR="003A5FD9" w:rsidRPr="00C00649" w14:paraId="5B4F0E92" w14:textId="77777777" w:rsidTr="00C00649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5633E04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236A05BA" w14:textId="77777777" w:rsidTr="00C00649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2EEDF32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</w:p>
          <w:p w14:paraId="20F520B6" w14:textId="77777777" w:rsidR="003A5FD9" w:rsidRPr="00C00649" w:rsidRDefault="003A5FD9" w:rsidP="00C00649">
            <w:pPr>
              <w:ind w:right="34"/>
              <w:jc w:val="both"/>
              <w:rPr>
                <w:rFonts w:ascii="Times New Roman" w:hAnsi="Times New Roman"/>
                <w:b/>
                <w:szCs w:val="24"/>
              </w:rPr>
            </w:pPr>
            <w:r w:rsidRPr="00C00649">
              <w:rPr>
                <w:rFonts w:ascii="Times New Roman" w:hAnsi="Times New Roman" w:cs="Calibri"/>
                <w:b/>
                <w:szCs w:val="24"/>
              </w:rPr>
              <w:t>Информация о произошедших за отчетный период изменениях количества подведомственных государственных (муниципальных) учреждений (реорганизации (слияние, присоединение, разделение, выделение, преобразование), ликвидации, изменении типа государственных учреждений, передаче учреждений между бюджетами) с указанием причин изменений количества по сравнению с началом отчетного периода</w:t>
            </w:r>
          </w:p>
          <w:p w14:paraId="76F4ABA6" w14:textId="77777777" w:rsidR="003A5FD9" w:rsidRPr="00C00649" w:rsidRDefault="003A5FD9" w:rsidP="00C00649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hAnsi="Times New Roman" w:cs="Calibri"/>
                <w:szCs w:val="24"/>
              </w:rPr>
            </w:pPr>
          </w:p>
        </w:tc>
      </w:tr>
      <w:tr w:rsidR="003A5FD9" w:rsidRPr="00C00649" w14:paraId="3DA9A9DD" w14:textId="77777777" w:rsidTr="00C00649">
        <w:trPr>
          <w:trHeight w:val="336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56A8551" w14:textId="77777777" w:rsidR="003A5FD9" w:rsidRPr="00C00649" w:rsidRDefault="003A5FD9" w:rsidP="00C00649">
            <w:pPr>
              <w:ind w:right="34"/>
              <w:jc w:val="both"/>
              <w:rPr>
                <w:rFonts w:ascii="Times New Roman" w:hAnsi="Times New Roman"/>
                <w:szCs w:val="24"/>
              </w:rPr>
            </w:pPr>
            <w:r w:rsidRPr="00C00649">
              <w:rPr>
                <w:rFonts w:ascii="Times New Roman" w:hAnsi="Times New Roman"/>
                <w:szCs w:val="24"/>
              </w:rPr>
              <w:t>У ВМО Даниловский подведомственные государственные (муниципальные) учреждения отсутствуют.</w:t>
            </w:r>
          </w:p>
          <w:p w14:paraId="5289389C" w14:textId="77777777" w:rsidR="003A5FD9" w:rsidRPr="00C00649" w:rsidRDefault="003A5FD9" w:rsidP="00C00649">
            <w:pPr>
              <w:ind w:right="34"/>
              <w:jc w:val="both"/>
              <w:rPr>
                <w:rFonts w:ascii="Times New Roman" w:hAnsi="Times New Roman"/>
                <w:szCs w:val="24"/>
              </w:rPr>
            </w:pPr>
          </w:p>
          <w:p w14:paraId="754D9DBF" w14:textId="77777777" w:rsidR="003A5FD9" w:rsidRPr="00C00649" w:rsidRDefault="003A5FD9" w:rsidP="00C00649">
            <w:pPr>
              <w:ind w:right="34"/>
              <w:jc w:val="both"/>
              <w:rPr>
                <w:rFonts w:ascii="Times New Roman" w:hAnsi="Times New Roman" w:cs="Calibri"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0FD76E94" w14:textId="77777777" w:rsidTr="00C00649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0E65854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2132F19F" w14:textId="77777777" w:rsidTr="00C00649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6B9D1FF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</w:p>
          <w:p w14:paraId="31BA0040" w14:textId="77777777" w:rsidR="003A5FD9" w:rsidRPr="00C00649" w:rsidRDefault="003A5FD9" w:rsidP="00C00649">
            <w:pPr>
              <w:ind w:right="34"/>
              <w:jc w:val="both"/>
              <w:rPr>
                <w:rFonts w:ascii="Times New Roman" w:hAnsi="Times New Roman"/>
                <w:b/>
                <w:szCs w:val="24"/>
              </w:rPr>
            </w:pPr>
            <w:r w:rsidRPr="00C00649">
              <w:rPr>
                <w:rFonts w:ascii="Times New Roman" w:hAnsi="Times New Roman" w:cs="Calibri"/>
                <w:b/>
                <w:szCs w:val="24"/>
              </w:rPr>
              <w:t>Иная информация, оказавшая существенное влияние и характеризующая организационную структуру субъекта бюджетной отчетности за отчетный период, не нашедшая отражения в таблицах и приложениях, включаемых в раздел</w:t>
            </w:r>
          </w:p>
          <w:p w14:paraId="47A85E35" w14:textId="77777777" w:rsidR="003A5FD9" w:rsidRPr="00C00649" w:rsidRDefault="003A5FD9" w:rsidP="00C00649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hAnsi="Times New Roman" w:cs="Calibri"/>
                <w:szCs w:val="24"/>
              </w:rPr>
            </w:pPr>
          </w:p>
        </w:tc>
      </w:tr>
      <w:tr w:rsidR="003A5FD9" w:rsidRPr="00C00649" w14:paraId="5FA775F3" w14:textId="77777777" w:rsidTr="00C00649">
        <w:trPr>
          <w:trHeight w:val="336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A6C167C" w14:textId="77777777" w:rsidR="003A5FD9" w:rsidRPr="00C00649" w:rsidRDefault="003A5FD9" w:rsidP="00C00649">
            <w:pPr>
              <w:ind w:right="34"/>
              <w:jc w:val="both"/>
              <w:rPr>
                <w:rFonts w:ascii="Times New Roman" w:hAnsi="Times New Roman" w:cs="Calibri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szCs w:val="24"/>
              </w:rPr>
              <w:t>Прочая информация, необходимая для отражения в Разделе 1, отсутствует.</w:t>
            </w:r>
          </w:p>
        </w:tc>
      </w:tr>
      <w:tr w:rsidR="003A5FD9" w:rsidRPr="00C00649" w14:paraId="5751AEE0" w14:textId="77777777" w:rsidTr="00C00649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664E27D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0CB954AD" w14:textId="77777777" w:rsidTr="00C00649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3AE9C91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en-US"/>
              </w:rPr>
            </w:pPr>
          </w:p>
        </w:tc>
      </w:tr>
    </w:tbl>
    <w:p w14:paraId="3CF216D6" w14:textId="77777777" w:rsidR="003A5FD9" w:rsidRPr="00C00649" w:rsidRDefault="003A5FD9">
      <w:pPr>
        <w:jc w:val="both"/>
        <w:rPr>
          <w:rFonts w:ascii="Times New Roman CYR" w:hAnsi="Times New Roman CYR" w:cs="Times New Roman CYR"/>
          <w:color w:val="004DBB"/>
          <w:sz w:val="22"/>
          <w:szCs w:val="24"/>
          <w:lang w:eastAsia="en-US"/>
        </w:rPr>
      </w:pPr>
    </w:p>
    <w:p w14:paraId="2E62ED1B" w14:textId="77777777" w:rsidR="003A5FD9" w:rsidRPr="00C00649" w:rsidRDefault="003A5FD9">
      <w:pPr>
        <w:jc w:val="both"/>
        <w:rPr>
          <w:rFonts w:ascii="Times New Roman CYR" w:hAnsi="Times New Roman CYR" w:cs="Calibri"/>
          <w:color w:val="004DBB"/>
          <w:sz w:val="22"/>
          <w:szCs w:val="24"/>
          <w:lang w:eastAsia="en-US"/>
        </w:rPr>
      </w:pPr>
    </w:p>
    <w:p w14:paraId="242EE4B9" w14:textId="77777777" w:rsidR="003A5FD9" w:rsidRPr="00C00649" w:rsidRDefault="003A5FD9">
      <w:pPr>
        <w:jc w:val="both"/>
        <w:rPr>
          <w:rFonts w:ascii="Times New Roman CYR" w:hAnsi="Times New Roman CYR" w:cs="Calibri"/>
          <w:color w:val="004DBB"/>
          <w:sz w:val="22"/>
          <w:szCs w:val="24"/>
          <w:lang w:eastAsia="en-US"/>
        </w:rPr>
      </w:pPr>
    </w:p>
    <w:p w14:paraId="360964B9" w14:textId="77777777" w:rsidR="003A5FD9" w:rsidRDefault="003A5FD9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>Раздел 2 «Результаты деятельности субъекта бюджетной отчетности»</w:t>
      </w:r>
      <w:r>
        <w:rPr>
          <w:rFonts w:ascii="Times New Roman" w:hAnsi="Times New Roman" w:cs="Calibri"/>
          <w:sz w:val="28"/>
          <w:szCs w:val="24"/>
        </w:rPr>
        <w:t xml:space="preserve"> </w:t>
      </w:r>
    </w:p>
    <w:tbl>
      <w:tblPr>
        <w:tblW w:w="5405" w:type="pct"/>
        <w:tblLayout w:type="fixed"/>
        <w:tblLook w:val="04A0" w:firstRow="1" w:lastRow="0" w:firstColumn="1" w:lastColumn="0" w:noHBand="0" w:noVBand="1"/>
      </w:tblPr>
      <w:tblGrid>
        <w:gridCol w:w="10507"/>
      </w:tblGrid>
      <w:tr w:rsidR="003A5FD9" w:rsidRPr="00C00649" w14:paraId="407D2F22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169ED0B" w14:textId="77777777" w:rsidR="003A5FD9" w:rsidRPr="00C00649" w:rsidRDefault="003A5FD9" w:rsidP="00C00649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  <w:p w14:paraId="77B77EAF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b/>
                <w:szCs w:val="24"/>
                <w:lang w:eastAsia="en-US"/>
              </w:rPr>
              <w:t>Информация, оказавшая существенное влияние и характеризующая результаты деятельности субъекта бюджетной отчетности за отчетный период, не нашедшая отражения в таблицах и приложениях, включаемых в раздел</w:t>
            </w:r>
          </w:p>
          <w:p w14:paraId="5583E88C" w14:textId="77777777" w:rsidR="003A5FD9" w:rsidRPr="00C00649" w:rsidRDefault="003A5FD9" w:rsidP="00C00649">
            <w:pPr>
              <w:ind w:right="35"/>
              <w:rPr>
                <w:rFonts w:ascii="Times New Roman" w:hAnsi="Times New Roman" w:cs="Calibri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3676FD85" w14:textId="77777777" w:rsidTr="00C00649">
        <w:trPr>
          <w:trHeight w:val="38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D85F0E3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color w:val="000000"/>
                <w:szCs w:val="24"/>
                <w:lang w:eastAsia="en-US"/>
              </w:rPr>
              <w:t>Иная информация, необходимая для отражения в Разделе 2, отсутствует.</w:t>
            </w:r>
          </w:p>
        </w:tc>
      </w:tr>
      <w:tr w:rsidR="003A5FD9" w:rsidRPr="00C00649" w14:paraId="3373B69C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DE8B4FB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724BEBB8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93145B3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en-US"/>
              </w:rPr>
            </w:pPr>
          </w:p>
        </w:tc>
      </w:tr>
    </w:tbl>
    <w:p w14:paraId="659EF03F" w14:textId="77777777" w:rsidR="003A5FD9" w:rsidRPr="00C00649" w:rsidRDefault="003A5FD9">
      <w:pPr>
        <w:jc w:val="both"/>
        <w:rPr>
          <w:rFonts w:ascii="Times New Roman CYR" w:hAnsi="Times New Roman CYR" w:cs="Times New Roman CYR"/>
          <w:color w:val="004DBB"/>
          <w:sz w:val="22"/>
          <w:szCs w:val="24"/>
          <w:lang w:eastAsia="en-US"/>
        </w:rPr>
      </w:pPr>
    </w:p>
    <w:p w14:paraId="1D738B36" w14:textId="77777777" w:rsidR="003A5FD9" w:rsidRPr="00C00649" w:rsidRDefault="003A5FD9">
      <w:pPr>
        <w:jc w:val="both"/>
        <w:rPr>
          <w:rFonts w:ascii="Times New Roman CYR" w:hAnsi="Times New Roman CYR" w:cs="Calibri"/>
          <w:color w:val="004DBB"/>
          <w:sz w:val="22"/>
          <w:szCs w:val="24"/>
          <w:lang w:eastAsia="en-US"/>
        </w:rPr>
      </w:pPr>
    </w:p>
    <w:p w14:paraId="74B066CA" w14:textId="77777777" w:rsidR="003A5FD9" w:rsidRPr="00C00649" w:rsidRDefault="003A5FD9">
      <w:pPr>
        <w:jc w:val="both"/>
        <w:rPr>
          <w:rFonts w:ascii="Times New Roman CYR" w:hAnsi="Times New Roman CYR" w:cs="Calibri"/>
          <w:color w:val="004DBB"/>
          <w:sz w:val="22"/>
          <w:szCs w:val="24"/>
          <w:lang w:eastAsia="en-US"/>
        </w:rPr>
      </w:pPr>
    </w:p>
    <w:p w14:paraId="2E643ADC" w14:textId="77777777" w:rsidR="003A5FD9" w:rsidRDefault="003A5FD9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>Раздел 3 «Анализ отчета об исполнении бюджета субъектом бюджетной отчетности»</w:t>
      </w:r>
      <w:r>
        <w:rPr>
          <w:rFonts w:ascii="Times New Roman" w:hAnsi="Times New Roman" w:cs="Calibri"/>
          <w:sz w:val="28"/>
          <w:szCs w:val="24"/>
        </w:rPr>
        <w:t xml:space="preserve"> </w:t>
      </w:r>
    </w:p>
    <w:tbl>
      <w:tblPr>
        <w:tblW w:w="5405" w:type="pct"/>
        <w:tblLayout w:type="fixed"/>
        <w:tblLook w:val="04A0" w:firstRow="1" w:lastRow="0" w:firstColumn="1" w:lastColumn="0" w:noHBand="0" w:noVBand="1"/>
      </w:tblPr>
      <w:tblGrid>
        <w:gridCol w:w="10507"/>
      </w:tblGrid>
      <w:tr w:rsidR="003A5FD9" w:rsidRPr="00C00649" w14:paraId="239496AC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632DDEA" w14:textId="77777777" w:rsidR="003A5FD9" w:rsidRPr="00C00649" w:rsidRDefault="003A5FD9" w:rsidP="00C00649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  <w:p w14:paraId="78784B99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b/>
                <w:szCs w:val="24"/>
                <w:lang w:eastAsia="en-US"/>
              </w:rPr>
              <w:t>Информация, раскрывающая причины неисполнения плановых показателей по расходам бюджета, отраженных в ф.0503164 с кодом причины неисполнения «99» (иные причины)</w:t>
            </w:r>
          </w:p>
          <w:p w14:paraId="39F91482" w14:textId="77777777" w:rsidR="003A5FD9" w:rsidRPr="00C00649" w:rsidRDefault="003A5FD9" w:rsidP="00C00649">
            <w:pPr>
              <w:ind w:right="35"/>
              <w:rPr>
                <w:rFonts w:ascii="Times New Roman" w:hAnsi="Times New Roman" w:cs="Calibri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3A640BB9" w14:textId="77777777" w:rsidTr="00C00649">
        <w:trPr>
          <w:trHeight w:val="3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664F6FD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color w:val="000000"/>
                <w:szCs w:val="24"/>
                <w:lang w:eastAsia="en-US"/>
              </w:rPr>
              <w:t xml:space="preserve">Неисполнение </w:t>
            </w:r>
            <w:proofErr w:type="gramStart"/>
            <w:r w:rsidRPr="00C00649">
              <w:rPr>
                <w:rFonts w:ascii="Times New Roman" w:hAnsi="Times New Roman"/>
                <w:color w:val="000000"/>
                <w:szCs w:val="24"/>
                <w:lang w:eastAsia="en-US"/>
              </w:rPr>
              <w:t>плановых  показателей</w:t>
            </w:r>
            <w:proofErr w:type="gramEnd"/>
            <w:r w:rsidRPr="00C00649">
              <w:rPr>
                <w:rFonts w:ascii="Times New Roman" w:hAnsi="Times New Roman"/>
                <w:color w:val="000000"/>
                <w:szCs w:val="24"/>
                <w:lang w:eastAsia="en-US"/>
              </w:rPr>
              <w:t xml:space="preserve"> по расходам бюджета с кодом причины неисполнения «99» (иные причины), отсутствуют.</w:t>
            </w:r>
          </w:p>
        </w:tc>
      </w:tr>
      <w:tr w:rsidR="003A5FD9" w:rsidRPr="00C00649" w14:paraId="64C030C4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B227A72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69F1A695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C1BC8BD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  <w:p w14:paraId="10F0C5F7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b/>
                <w:szCs w:val="24"/>
                <w:lang w:eastAsia="en-US"/>
              </w:rPr>
              <w:t>Информация об исполнении местного бюджета по доходам, расходам и источникам финансирования дефицита бюджета (в увязке плановых бюджетных назначений с кассовым исполнением), с указанием причин неисполнения бюджетных назначений по доходам, расходам и источникам финансирования дефицита бюджета.</w:t>
            </w:r>
          </w:p>
          <w:p w14:paraId="7FE75D42" w14:textId="77777777" w:rsidR="003A5FD9" w:rsidRPr="00C00649" w:rsidRDefault="003A5FD9" w:rsidP="00C00649">
            <w:pPr>
              <w:ind w:right="35"/>
              <w:rPr>
                <w:rFonts w:ascii="Times New Roman" w:hAnsi="Times New Roman" w:cs="Calibri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3B1BB14A" w14:textId="77777777" w:rsidTr="00C00649">
        <w:trPr>
          <w:trHeight w:val="3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6909AD6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color w:val="000000"/>
                <w:szCs w:val="24"/>
                <w:lang w:eastAsia="en-US"/>
              </w:rPr>
              <w:t xml:space="preserve">Уточненный годовой план по доходам на 2025 год составил 29 059 600,00 рублей. Фактическое исполнение на конец отчетного периода составило 32 132 103,29 рублей, что соответствует 110,57% от планового показателя. </w:t>
            </w:r>
          </w:p>
          <w:p w14:paraId="2490F57C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color w:val="000000"/>
                <w:szCs w:val="24"/>
                <w:lang w:eastAsia="en-US"/>
              </w:rPr>
              <w:t>Отклонения показателей исполнения бюджета по доходам от плановых показателей вызваны следующими причинами:</w:t>
            </w:r>
          </w:p>
          <w:p w14:paraId="682665B2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color w:val="000000"/>
                <w:szCs w:val="24"/>
                <w:lang w:eastAsia="en-US"/>
              </w:rPr>
              <w:t xml:space="preserve">– по коду бюджетной классификации 182 10102010010000 110 исполнение составило 60,48% в связи с уменьшением количества плательщиков НДФЛ; </w:t>
            </w:r>
          </w:p>
          <w:p w14:paraId="24183ABA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color w:val="000000"/>
                <w:szCs w:val="24"/>
                <w:lang w:eastAsia="en-US"/>
              </w:rPr>
              <w:t xml:space="preserve">– по коду бюджетной классификации 182 10102020010000 110 исполнение составило 50,60 в связи с уменьшением количества плательщиков НДФЛ; </w:t>
            </w:r>
          </w:p>
          <w:p w14:paraId="5091BBF9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color w:val="000000"/>
                <w:szCs w:val="24"/>
                <w:lang w:eastAsia="en-US"/>
              </w:rPr>
              <w:t xml:space="preserve">– по коду бюджетной классификации 182 10102030010000 110 исполнение составило 72,36% в связи с уменьшением количества плательщиков НДФЛ. </w:t>
            </w:r>
          </w:p>
          <w:p w14:paraId="01E52776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color w:val="000000"/>
                <w:szCs w:val="24"/>
                <w:lang w:eastAsia="en-US"/>
              </w:rPr>
              <w:t>В соответствии с уточненной бюджетной росписью на 2025 год утвержденные бюджетные назначения (лимиты бюджетных обязательств) по расходам составили 31 284 600,00 рублей, кассовое исполнение составило 30 757 014,42 рублей или 98,31%.</w:t>
            </w:r>
          </w:p>
          <w:p w14:paraId="4F2791D7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color w:val="000000"/>
                <w:szCs w:val="24"/>
                <w:lang w:eastAsia="en-US"/>
              </w:rPr>
              <w:t>Отклонения показателей исполнения бюджета по расходам от плановых показателей вызваны следующими причинами:</w:t>
            </w:r>
          </w:p>
          <w:p w14:paraId="3C12B2E2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color w:val="000000"/>
                <w:szCs w:val="24"/>
                <w:lang w:eastAsia="en-US"/>
              </w:rPr>
              <w:t>– по коду бюджетной классификации 0103 31А01 00000 исполнение составило 55,61% в связи с уменьшение численности получателей выплат, пособий и компенсаций по сравнению с запланированной;</w:t>
            </w:r>
          </w:p>
          <w:p w14:paraId="34656769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color w:val="000000"/>
                <w:szCs w:val="24"/>
                <w:lang w:eastAsia="en-US"/>
              </w:rPr>
              <w:t>– по коду бюджетной классификации 0111 32А01 00000 исполнение составило 0% в связи с отсутствием мероприятий, связанных с чрезвычайными ситуациями;</w:t>
            </w:r>
          </w:p>
          <w:p w14:paraId="313D02C8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color w:val="000000"/>
                <w:szCs w:val="24"/>
                <w:lang w:eastAsia="en-US"/>
              </w:rPr>
              <w:t>– по коду бюджетной классификации 1006 35П01 00000 исполнение составило 90,92% в связи с уменьшение численности получателей выплат, пособий и компенсаций по сравнению с запланированной.</w:t>
            </w:r>
          </w:p>
          <w:p w14:paraId="0CA0921E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color w:val="000000"/>
                <w:szCs w:val="24"/>
                <w:lang w:eastAsia="en-US"/>
              </w:rPr>
              <w:t>Уточненный годовой план по источникам финансирования дефицита бюджета на 2025 год составил 2 225 000,00 рублей. Фактическое исполнение на конец отчетного периода составило 1 375 088,87 рублей, что соответствует 61,80% от планового показателя. В отчетном периоде в бюджете ВМО Даниловский сложился профицит бюджета в сумме 1 375 088,87 рублей.</w:t>
            </w:r>
          </w:p>
          <w:p w14:paraId="07124C1D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color w:val="000000"/>
                <w:szCs w:val="24"/>
                <w:lang w:eastAsia="en-US"/>
              </w:rPr>
              <w:t>Источником финансирования профицита бюджета является свободный остаток средств бюджета ВМО Даниловский на 01 января 2025 года. В марте 2025 года Совет депутатов принял решения об использовании свободного остатка в сумме 400 000,00 рублей. (Решение МДА-01-03-32 от 11.03.2025). В апреле 2025 года Совет депутатов принял решения об использовании свободного остатка в сумме 950 000,00 рублей. (Решение МДА-01-03-54 от 15.04.2025). В мае 2025 года Совет депутатов принял решения об использовании свободного остатка в сумме 75 000,00 рублей. (Решение МДА-01-03-70 от 30.05.2025). В ноябре 2025 года Совет депутатов принял решения об использовании свободного остатка в сумме 800 000,00 рублей. (Решение МДА-01-03-102 от 11.11.2025). Профицит бюджета ВМО Даниловский по исполнению на 01.01.2026 составил рублей 1 375 088,87 - отклонения сложились за счет разницы между поступающими доходами (отчисления НДФЛ от ИФНС в доход МО Даниловский) и расходами ВМО Даниловский.</w:t>
            </w:r>
          </w:p>
          <w:p w14:paraId="63FEA563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6872E48F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06D340F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5D083E58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AB73C3C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  <w:p w14:paraId="028E8E10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b/>
                <w:szCs w:val="24"/>
                <w:lang w:eastAsia="en-US"/>
              </w:rPr>
              <w:t xml:space="preserve">Иная информация, оказавшая существенное влияние и характеризующая результаты </w:t>
            </w:r>
            <w:r w:rsidRPr="00C00649">
              <w:rPr>
                <w:rFonts w:ascii="Times New Roman" w:hAnsi="Times New Roman" w:cs="Calibri"/>
                <w:b/>
                <w:szCs w:val="24"/>
                <w:lang w:eastAsia="en-US"/>
              </w:rPr>
              <w:lastRenderedPageBreak/>
              <w:t>исполнения бюджета субъектом бюджетной отчетности, не отраженная в таблицах и приложениях</w:t>
            </w:r>
          </w:p>
          <w:p w14:paraId="31EC9B22" w14:textId="77777777" w:rsidR="003A5FD9" w:rsidRPr="00C00649" w:rsidRDefault="003A5FD9" w:rsidP="00C00649">
            <w:pPr>
              <w:ind w:right="35"/>
              <w:rPr>
                <w:rFonts w:ascii="Times New Roman" w:hAnsi="Times New Roman" w:cs="Calibri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36FEA9CD" w14:textId="77777777" w:rsidTr="00C00649">
        <w:trPr>
          <w:trHeight w:val="3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04CA264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color w:val="000000"/>
                <w:szCs w:val="24"/>
                <w:lang w:eastAsia="en-US"/>
              </w:rPr>
              <w:lastRenderedPageBreak/>
              <w:t>Иная информация, необходимая для отражения в Разделе 3, отсутствует.</w:t>
            </w:r>
          </w:p>
        </w:tc>
      </w:tr>
      <w:tr w:rsidR="003A5FD9" w:rsidRPr="00C00649" w14:paraId="359074EE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2C4DE49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6E9BEC70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1E2A335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en-US"/>
              </w:rPr>
            </w:pPr>
          </w:p>
        </w:tc>
      </w:tr>
    </w:tbl>
    <w:p w14:paraId="6ECA69C4" w14:textId="77777777" w:rsidR="003A5FD9" w:rsidRPr="00C00649" w:rsidRDefault="003A5FD9">
      <w:pPr>
        <w:jc w:val="both"/>
        <w:rPr>
          <w:rFonts w:ascii="Times New Roman CYR" w:hAnsi="Times New Roman CYR" w:cs="Times New Roman CYR"/>
          <w:color w:val="004DBB"/>
          <w:sz w:val="22"/>
          <w:szCs w:val="24"/>
          <w:lang w:eastAsia="en-US"/>
        </w:rPr>
      </w:pPr>
    </w:p>
    <w:p w14:paraId="66487651" w14:textId="77777777" w:rsidR="003A5FD9" w:rsidRPr="00C00649" w:rsidRDefault="003A5FD9">
      <w:pPr>
        <w:jc w:val="both"/>
        <w:rPr>
          <w:rFonts w:ascii="Times New Roman CYR" w:hAnsi="Times New Roman CYR" w:cs="Calibri"/>
          <w:color w:val="004DBB"/>
          <w:sz w:val="22"/>
          <w:szCs w:val="24"/>
          <w:lang w:eastAsia="en-US"/>
        </w:rPr>
      </w:pPr>
    </w:p>
    <w:p w14:paraId="04EFF3D8" w14:textId="77777777" w:rsidR="003A5FD9" w:rsidRPr="00C00649" w:rsidRDefault="003A5FD9">
      <w:pPr>
        <w:jc w:val="both"/>
        <w:rPr>
          <w:rFonts w:ascii="Times New Roman CYR" w:hAnsi="Times New Roman CYR" w:cs="Calibri"/>
          <w:color w:val="004DBB"/>
          <w:sz w:val="22"/>
          <w:szCs w:val="24"/>
          <w:lang w:eastAsia="en-US"/>
        </w:rPr>
      </w:pPr>
    </w:p>
    <w:p w14:paraId="046A66F6" w14:textId="77777777" w:rsidR="003A5FD9" w:rsidRDefault="003A5FD9">
      <w:pPr>
        <w:jc w:val="center"/>
        <w:rPr>
          <w:rFonts w:ascii="Times New Roman" w:hAnsi="Times New Roman" w:cs="Calibri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>Раздел 4 «Анализ показателей бухгалтерской отчетности субъекта бюджетной отчетности»</w:t>
      </w:r>
    </w:p>
    <w:tbl>
      <w:tblPr>
        <w:tblW w:w="5405" w:type="pct"/>
        <w:tblLayout w:type="fixed"/>
        <w:tblLook w:val="04A0" w:firstRow="1" w:lastRow="0" w:firstColumn="1" w:lastColumn="0" w:noHBand="0" w:noVBand="1"/>
      </w:tblPr>
      <w:tblGrid>
        <w:gridCol w:w="10507"/>
      </w:tblGrid>
      <w:tr w:rsidR="003A5FD9" w:rsidRPr="00C00649" w14:paraId="23ADA7E3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0FC9568" w14:textId="77777777" w:rsidR="003A5FD9" w:rsidRPr="00C00649" w:rsidRDefault="003A5FD9" w:rsidP="00C00649">
            <w:pPr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74FC666F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Информация о суммах начисления и уменьшения резерва под снижение стоимости материальных запасов</w:t>
            </w:r>
          </w:p>
          <w:p w14:paraId="11F29E40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3CFED1D1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80E7080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В 2025 году резерв под снижение стоимости материальных запасов не формировался.</w:t>
            </w:r>
          </w:p>
        </w:tc>
      </w:tr>
      <w:tr w:rsidR="003A5FD9" w:rsidRPr="00C00649" w14:paraId="79592701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6C4074F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273ECD21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C3A523D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1471D830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Информация об объектах нефинансовых активов, ранее неучтенных в бухгалтерском учете и оприходованных в результате инвентаризации (восстановленных в учете) (на основании ф. 0503168)</w:t>
            </w:r>
          </w:p>
          <w:p w14:paraId="6E7F5DCF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33B85E59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F503971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Поступление объектов нефинансовых активов, в результате принятия к учету ранее неучтенных объектов (восстановленных в учете по результатам инвентаризации) не осуществлялось.</w:t>
            </w:r>
          </w:p>
        </w:tc>
      </w:tr>
      <w:tr w:rsidR="003A5FD9" w:rsidRPr="00C00649" w14:paraId="2DF094EC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3083BF2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4D749DF3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18DEBB1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3C97A37E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Информация об объектах нефинансовых активов, выбывших в результате недостач, хищений, с выделением активов в части особо ценного движимого имущества, дорогостоящих материальных запасов, и мерах, принимаемых для обеспечения сохранности имущества (на основании ф. 0503168)</w:t>
            </w:r>
          </w:p>
          <w:p w14:paraId="2067E97A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56DDB133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DDC48B3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Фактов недостач и хищений в 2025 году не выявлено.</w:t>
            </w:r>
          </w:p>
        </w:tc>
      </w:tr>
      <w:tr w:rsidR="003A5FD9" w:rsidRPr="00C00649" w14:paraId="6CDDB138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1E3D7E2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0931E868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FE4B36C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53C3F64C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Информация по каждой группе основных средств, раскрывающая: суммы увеличения или уменьшения остаточной стоимости объектов основных средств в результате признания в отношении их убытков от обесценения активов (снижения убытков от обесценения активов), суммы накопленного убытка от обесценения объектов основных средств на отчетную дату; суммы начисленной амортизации по объектам основных средств, суммы накопленной амортизации на отчетную дату</w:t>
            </w:r>
          </w:p>
          <w:p w14:paraId="1FCCA711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519BAC46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AAD9E38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Информация отражена в Сведениях о движении нефинансовых активов (ф. 0503168)</w:t>
            </w:r>
          </w:p>
        </w:tc>
      </w:tr>
      <w:tr w:rsidR="003A5FD9" w:rsidRPr="00C00649" w14:paraId="4104D4F8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C2CE2C7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469B3163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16AFE6A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30AF1DEC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 xml:space="preserve">Анализ </w:t>
            </w:r>
            <w:proofErr w:type="gramStart"/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остатков  дебиторской</w:t>
            </w:r>
            <w:proofErr w:type="gramEnd"/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 xml:space="preserve"> (кредиторской) задолженности, в том числе </w:t>
            </w:r>
            <w:proofErr w:type="gramStart"/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просроченной  на</w:t>
            </w:r>
            <w:proofErr w:type="gramEnd"/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 xml:space="preserve"> конец отчетного периода (на основании ф. 0503169).</w:t>
            </w:r>
          </w:p>
          <w:p w14:paraId="491BB27D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5DA7CFA2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tbl>
            <w:tblPr>
              <w:tblW w:w="10434" w:type="dxa"/>
              <w:tblLook w:val="04A0" w:firstRow="1" w:lastRow="0" w:firstColumn="1" w:lastColumn="0" w:noHBand="0" w:noVBand="1"/>
            </w:tblPr>
            <w:tblGrid>
              <w:gridCol w:w="745"/>
              <w:gridCol w:w="567"/>
              <w:gridCol w:w="1275"/>
              <w:gridCol w:w="1269"/>
              <w:gridCol w:w="1426"/>
              <w:gridCol w:w="1373"/>
              <w:gridCol w:w="1134"/>
              <w:gridCol w:w="1077"/>
              <w:gridCol w:w="1519"/>
              <w:gridCol w:w="49"/>
            </w:tblGrid>
            <w:tr w:rsidR="004F5D84" w:rsidRPr="004F5D84" w14:paraId="2348F05A" w14:textId="77777777" w:rsidTr="004F5D84">
              <w:trPr>
                <w:trHeight w:val="578"/>
              </w:trPr>
              <w:tc>
                <w:tcPr>
                  <w:tcW w:w="1043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AC283D9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lastRenderedPageBreak/>
                    <w:t>Раздел 1 "Причины образования дебиторской задолженности и анализ изменения показателей дебиторской задолженности в сравнении с показателями аналогичного периода прошлого отчетного года"</w:t>
                  </w:r>
                </w:p>
              </w:tc>
            </w:tr>
            <w:tr w:rsidR="004F5D84" w:rsidRPr="004F5D84" w14:paraId="04B9631B" w14:textId="77777777" w:rsidTr="004F5D84">
              <w:trPr>
                <w:gridAfter w:val="1"/>
                <w:wAfter w:w="49" w:type="dxa"/>
                <w:trHeight w:val="300"/>
              </w:trPr>
              <w:tc>
                <w:tcPr>
                  <w:tcW w:w="7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398257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4A0EAE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222991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A15900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E006C1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6FE4F7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AFC32D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DF8152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70F6D0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F5D84" w:rsidRPr="004F5D84" w14:paraId="0EE44C8F" w14:textId="77777777" w:rsidTr="004F5D84">
              <w:trPr>
                <w:gridAfter w:val="1"/>
                <w:wAfter w:w="49" w:type="dxa"/>
                <w:trHeight w:val="863"/>
              </w:trPr>
              <w:tc>
                <w:tcPr>
                  <w:tcW w:w="74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1BB89B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Код главы ГАБС (наименование ВМО)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D85FC2E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Код аналитики (АКПД, КВР, КИФ)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2863CC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Номер (код) счета бюджетного учета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898950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Дебиторская задолженность на конец отчетного периода</w:t>
                  </w:r>
                </w:p>
              </w:tc>
              <w:tc>
                <w:tcPr>
                  <w:tcW w:w="5103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6593CE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Анализ изменения показателей дебиторской задолженности в сравнении с показателями аналогичного периода прошлого отчетного года</w:t>
                  </w:r>
                </w:p>
              </w:tc>
            </w:tr>
            <w:tr w:rsidR="004F5D84" w:rsidRPr="004F5D84" w14:paraId="77EF1B93" w14:textId="77777777" w:rsidTr="004F5D84">
              <w:trPr>
                <w:gridAfter w:val="1"/>
                <w:wAfter w:w="49" w:type="dxa"/>
                <w:trHeight w:val="2029"/>
              </w:trPr>
              <w:tc>
                <w:tcPr>
                  <w:tcW w:w="7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759D433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C2EA8F3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147F38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615473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Сумма задолженности на конец отчетного периода, руб.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6F16FBC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Причины образования задолженности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7583C5D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Сумма задолженности за аналогичный период прошлого отчетного года, руб.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F10970D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Изменение (гр.4 - гр.6)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A7F8A57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% увеличения (уменьшения) задолженности (гр.4/гр.6)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9EB036B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Пояснение (причины УВЕЛИЧЕНИЯ/УМЕНЬШЕНИЯ/БЕЗ ДВИЖЕНИЯ задолженности)</w:t>
                  </w:r>
                </w:p>
              </w:tc>
            </w:tr>
            <w:tr w:rsidR="004F5D84" w:rsidRPr="004F5D84" w14:paraId="204BEB2B" w14:textId="77777777" w:rsidTr="004F5D84">
              <w:trPr>
                <w:gridAfter w:val="1"/>
                <w:wAfter w:w="49" w:type="dxa"/>
                <w:trHeight w:val="300"/>
              </w:trPr>
              <w:tc>
                <w:tcPr>
                  <w:tcW w:w="7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B01D256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FEEF180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CB3A78D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32F7D00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FDB4C5B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B0D135B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FAC4ACD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FBE4B8D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2653917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</w:tr>
            <w:tr w:rsidR="004F5D84" w:rsidRPr="004F5D84" w14:paraId="32F656BE" w14:textId="77777777" w:rsidTr="004F5D84">
              <w:trPr>
                <w:gridAfter w:val="1"/>
                <w:wAfter w:w="49" w:type="dxa"/>
                <w:trHeight w:val="285"/>
              </w:trPr>
              <w:tc>
                <w:tcPr>
                  <w:tcW w:w="7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E5EEF9"/>
                  <w:noWrap/>
                  <w:vAlign w:val="center"/>
                  <w:hideMark/>
                </w:tcPr>
                <w:p w14:paraId="1B8992DC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E5EEF9"/>
                  <w:noWrap/>
                  <w:vAlign w:val="center"/>
                  <w:hideMark/>
                </w:tcPr>
                <w:p w14:paraId="07D3CB48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DBE5F1"/>
                  <w:vAlign w:val="center"/>
                  <w:hideMark/>
                </w:tcPr>
                <w:p w14:paraId="632A35F6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120500000</w:t>
                  </w:r>
                </w:p>
              </w:tc>
              <w:tc>
                <w:tcPr>
                  <w:tcW w:w="1269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E5EEF9"/>
                  <w:vAlign w:val="bottom"/>
                  <w:hideMark/>
                </w:tcPr>
                <w:p w14:paraId="65651008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E5EEF9"/>
                  <w:noWrap/>
                  <w:vAlign w:val="center"/>
                  <w:hideMark/>
                </w:tcPr>
                <w:p w14:paraId="7124F1CC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37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E5EEF9"/>
                  <w:vAlign w:val="bottom"/>
                  <w:hideMark/>
                </w:tcPr>
                <w:p w14:paraId="315D18B8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7514,28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E5EEF9"/>
                  <w:noWrap/>
                  <w:vAlign w:val="bottom"/>
                  <w:hideMark/>
                </w:tcPr>
                <w:p w14:paraId="5B8A1D30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-7514,28</w:t>
                  </w:r>
                </w:p>
              </w:tc>
              <w:tc>
                <w:tcPr>
                  <w:tcW w:w="107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E5EEF9"/>
                  <w:noWrap/>
                  <w:vAlign w:val="bottom"/>
                  <w:hideMark/>
                </w:tcPr>
                <w:p w14:paraId="5C8EAC2D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-100,00</w:t>
                  </w:r>
                </w:p>
              </w:tc>
              <w:tc>
                <w:tcPr>
                  <w:tcW w:w="151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E5EEF9"/>
                  <w:noWrap/>
                  <w:vAlign w:val="center"/>
                  <w:hideMark/>
                </w:tcPr>
                <w:p w14:paraId="68703035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  <w:tr w:rsidR="004F5D84" w:rsidRPr="004F5D84" w14:paraId="31DBA53E" w14:textId="77777777" w:rsidTr="004F5D84">
              <w:trPr>
                <w:gridAfter w:val="1"/>
                <w:wAfter w:w="49" w:type="dxa"/>
                <w:trHeight w:val="285"/>
              </w:trPr>
              <w:tc>
                <w:tcPr>
                  <w:tcW w:w="74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E5EEF9"/>
                  <w:noWrap/>
                  <w:vAlign w:val="center"/>
                  <w:hideMark/>
                </w:tcPr>
                <w:p w14:paraId="2F6A89AC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E5EEF9"/>
                  <w:noWrap/>
                  <w:vAlign w:val="center"/>
                  <w:hideMark/>
                </w:tcPr>
                <w:p w14:paraId="25304C60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DBE5F1"/>
                  <w:vAlign w:val="center"/>
                  <w:hideMark/>
                </w:tcPr>
                <w:p w14:paraId="48EEBDE4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120600000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E5EEF9"/>
                  <w:vAlign w:val="bottom"/>
                  <w:hideMark/>
                </w:tcPr>
                <w:p w14:paraId="09F7A474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138 498,60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E5EEF9"/>
                  <w:noWrap/>
                  <w:vAlign w:val="center"/>
                  <w:hideMark/>
                </w:tcPr>
                <w:p w14:paraId="7C6CBAB2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E5EEF9"/>
                  <w:vAlign w:val="bottom"/>
                  <w:hideMark/>
                </w:tcPr>
                <w:p w14:paraId="72434695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14256,45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E5EEF9"/>
                  <w:noWrap/>
                  <w:vAlign w:val="bottom"/>
                  <w:hideMark/>
                </w:tcPr>
                <w:p w14:paraId="19F7AF27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124242,15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E5EEF9"/>
                  <w:noWrap/>
                  <w:vAlign w:val="bottom"/>
                  <w:hideMark/>
                </w:tcPr>
                <w:p w14:paraId="4E0729BC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871,48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E5EEF9"/>
                  <w:noWrap/>
                  <w:vAlign w:val="center"/>
                  <w:hideMark/>
                </w:tcPr>
                <w:p w14:paraId="03D8DE7A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  <w:tr w:rsidR="004F5D84" w:rsidRPr="004F5D84" w14:paraId="3AA749CB" w14:textId="77777777" w:rsidTr="004F5D84">
              <w:trPr>
                <w:gridAfter w:val="1"/>
                <w:wAfter w:w="49" w:type="dxa"/>
                <w:trHeight w:val="285"/>
              </w:trPr>
              <w:tc>
                <w:tcPr>
                  <w:tcW w:w="74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E5EEF9"/>
                  <w:noWrap/>
                  <w:vAlign w:val="center"/>
                  <w:hideMark/>
                </w:tcPr>
                <w:p w14:paraId="525F1AD5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E5EEF9"/>
                  <w:noWrap/>
                  <w:vAlign w:val="center"/>
                  <w:hideMark/>
                </w:tcPr>
                <w:p w14:paraId="25953905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DBE5F1"/>
                  <w:vAlign w:val="center"/>
                  <w:hideMark/>
                </w:tcPr>
                <w:p w14:paraId="68B92DE9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121000000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E5EEF9"/>
                  <w:vAlign w:val="bottom"/>
                  <w:hideMark/>
                </w:tcPr>
                <w:p w14:paraId="23232D38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900,00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E5EEF9"/>
                  <w:noWrap/>
                  <w:vAlign w:val="center"/>
                  <w:hideMark/>
                </w:tcPr>
                <w:p w14:paraId="178A9490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E5EEF9"/>
                  <w:vAlign w:val="bottom"/>
                  <w:hideMark/>
                </w:tcPr>
                <w:p w14:paraId="3A721C46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E5EEF9"/>
                  <w:noWrap/>
                  <w:vAlign w:val="bottom"/>
                  <w:hideMark/>
                </w:tcPr>
                <w:p w14:paraId="46B3799A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900,00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E5EEF9"/>
                  <w:noWrap/>
                  <w:vAlign w:val="bottom"/>
                  <w:hideMark/>
                </w:tcPr>
                <w:p w14:paraId="6E4CF06B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E5EEF9"/>
                  <w:noWrap/>
                  <w:vAlign w:val="center"/>
                  <w:hideMark/>
                </w:tcPr>
                <w:p w14:paraId="18B03328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  <w:tr w:rsidR="004F5D84" w:rsidRPr="004F5D84" w14:paraId="3A747409" w14:textId="77777777" w:rsidTr="004F5D84">
              <w:trPr>
                <w:gridAfter w:val="1"/>
                <w:wAfter w:w="49" w:type="dxa"/>
                <w:trHeight w:val="285"/>
              </w:trPr>
              <w:tc>
                <w:tcPr>
                  <w:tcW w:w="74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FBE3E2"/>
                  <w:noWrap/>
                  <w:vAlign w:val="center"/>
                  <w:hideMark/>
                </w:tcPr>
                <w:p w14:paraId="3EC6B66E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FBE3E2"/>
                  <w:noWrap/>
                  <w:vAlign w:val="center"/>
                  <w:hideMark/>
                </w:tcPr>
                <w:p w14:paraId="685170F3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FBE3E2"/>
                  <w:noWrap/>
                  <w:vAlign w:val="center"/>
                  <w:hideMark/>
                </w:tcPr>
                <w:p w14:paraId="17671610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FBE3E2"/>
                  <w:vAlign w:val="bottom"/>
                  <w:hideMark/>
                </w:tcPr>
                <w:p w14:paraId="68C619FC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139 398,60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FBE3E2"/>
                  <w:noWrap/>
                  <w:vAlign w:val="center"/>
                  <w:hideMark/>
                </w:tcPr>
                <w:p w14:paraId="12DFBEE7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FBE3E2"/>
                  <w:vAlign w:val="bottom"/>
                  <w:hideMark/>
                </w:tcPr>
                <w:p w14:paraId="2CAB5C0A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21770,73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FBE3E2"/>
                  <w:noWrap/>
                  <w:vAlign w:val="bottom"/>
                  <w:hideMark/>
                </w:tcPr>
                <w:p w14:paraId="44F6C758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117627,87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BE3E2"/>
                  <w:noWrap/>
                  <w:vAlign w:val="bottom"/>
                  <w:hideMark/>
                </w:tcPr>
                <w:p w14:paraId="4A4A6165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540,30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BE3E2"/>
                  <w:noWrap/>
                  <w:vAlign w:val="center"/>
                  <w:hideMark/>
                </w:tcPr>
                <w:p w14:paraId="22874525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  <w:tr w:rsidR="004F5D84" w:rsidRPr="004F5D84" w14:paraId="3BF97B67" w14:textId="77777777" w:rsidTr="004F5D84">
              <w:trPr>
                <w:gridAfter w:val="1"/>
                <w:wAfter w:w="49" w:type="dxa"/>
                <w:trHeight w:val="6720"/>
              </w:trPr>
              <w:tc>
                <w:tcPr>
                  <w:tcW w:w="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0943DB6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2102AAF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14264EC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120551000</w:t>
                  </w:r>
                </w:p>
              </w:tc>
              <w:tc>
                <w:tcPr>
                  <w:tcW w:w="1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B269A90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3043E49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7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4D6444C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7514,28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B06DFEA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-7514,28</w:t>
                  </w:r>
                </w:p>
              </w:tc>
              <w:tc>
                <w:tcPr>
                  <w:tcW w:w="107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1C8F8B7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-100,00</w:t>
                  </w:r>
                </w:p>
              </w:tc>
              <w:tc>
                <w:tcPr>
                  <w:tcW w:w="15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FA3CC1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Задолженность в отчетном периоде ниже по сравнению с аналогичным периодом прошлого года и равна нулю в связи </w:t>
                  </w:r>
                  <w:proofErr w:type="gramStart"/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с  тем</w:t>
                  </w:r>
                  <w:proofErr w:type="gramEnd"/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, что межбюджетный трансферт на доплату к пенсии бывшим муниципальным служащим, переданный Департаменту социальной защиты населения города Москвы на 2025 год, был израсходован в полном объеме, остаток на 01.01.2026 года отсутствует. </w:t>
                  </w:r>
                </w:p>
              </w:tc>
            </w:tr>
            <w:tr w:rsidR="004F5D84" w:rsidRPr="004F5D84" w14:paraId="24B0FFF1" w14:textId="77777777" w:rsidTr="004F5D84">
              <w:trPr>
                <w:gridAfter w:val="1"/>
                <w:wAfter w:w="49" w:type="dxa"/>
                <w:trHeight w:val="3600"/>
              </w:trPr>
              <w:tc>
                <w:tcPr>
                  <w:tcW w:w="7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CFFED3D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lastRenderedPageBreak/>
                    <w:t>900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13D40A9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5E664D8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120621000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2B776F4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35B493B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0152710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10970,02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688675B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-10970,02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9F1E008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-100,00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F2C61CE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Задолженность в отчетном периоде ниже по сравнению с аналогичным периодом прошлого года и равна нулю в связи с отсутствием авансовых платежей на оплату услуг связи. </w:t>
                  </w:r>
                </w:p>
              </w:tc>
            </w:tr>
            <w:tr w:rsidR="004F5D84" w:rsidRPr="004F5D84" w14:paraId="64FEF7FE" w14:textId="77777777" w:rsidTr="004F5D84">
              <w:trPr>
                <w:gridAfter w:val="1"/>
                <w:wAfter w:w="49" w:type="dxa"/>
                <w:trHeight w:val="6960"/>
              </w:trPr>
              <w:tc>
                <w:tcPr>
                  <w:tcW w:w="7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5578DCE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AE7D5B9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AFF1BC2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120626000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7D8BD91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135000,00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ED2037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Начисление авансового платежа за услуги по проведению конкурсных процедур на 2026 год ООО "Торговая группа" 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3F9D531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2749257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135000,00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D1EEFC5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6E11C13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Задолженность в отчетном периоде выше по сравнению с аналогичным периодом прошлого года в связи с оплатой услуг по проведению конкурсных процедур на 2026 год ООО "Торговая группа" в конце 2025 года.</w:t>
                  </w: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 xml:space="preserve">В соответствии с условиями договора предусмотрено перечисление авансового платежа, который будет закрыт по результатам исполнения. </w:t>
                  </w: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</w: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 xml:space="preserve"> </w:t>
                  </w:r>
                </w:p>
              </w:tc>
            </w:tr>
            <w:tr w:rsidR="004F5D84" w:rsidRPr="004F5D84" w14:paraId="6A9BCC3E" w14:textId="77777777" w:rsidTr="004F5D84">
              <w:trPr>
                <w:gridAfter w:val="1"/>
                <w:wAfter w:w="49" w:type="dxa"/>
                <w:trHeight w:val="7440"/>
              </w:trPr>
              <w:tc>
                <w:tcPr>
                  <w:tcW w:w="7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47CA51D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lastRenderedPageBreak/>
                    <w:t>900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CD71B35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33B99A5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121005000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0821D2A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900,00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AA5C65F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Начисление авансового платежа по оплате залоговой стоимости единых транспортных карт без лимита поездок на 365 дней для депутатов ГУП "Московский метрополитен". </w:t>
                  </w: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</w: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 xml:space="preserve"> 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4B81CDA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637B83A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900,00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2A36B88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60E771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Задолженность в отчетном периоде выше по сравнению с аналогичным периодом прошлого года в связи с оплатой залоговой стоимости единых транспортных карт без лимита поездок на 365 дней для депутатов ГУП "Московский метрополитен" в 2025 году.</w:t>
                  </w: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 xml:space="preserve">В соответствии с условиями договора предусмотрено перечисление авансового платежа, который будет закрыт по результатам исполнения.  </w:t>
                  </w:r>
                </w:p>
              </w:tc>
            </w:tr>
            <w:tr w:rsidR="004F5D84" w:rsidRPr="004F5D84" w14:paraId="44183897" w14:textId="77777777" w:rsidTr="004F5D84">
              <w:trPr>
                <w:gridAfter w:val="1"/>
                <w:wAfter w:w="49" w:type="dxa"/>
                <w:trHeight w:val="5760"/>
              </w:trPr>
              <w:tc>
                <w:tcPr>
                  <w:tcW w:w="7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5F75078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lastRenderedPageBreak/>
                    <w:t>900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BD705A7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247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300AD75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120623000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C0B60E1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3498,60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B908FD9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Начисление авансового платежа за поставку электроэнергии ПАО "Мосэнергосбыт"</w:t>
                  </w: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 xml:space="preserve"> 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3EB5844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3286,43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6A5F9C8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212,17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86C0F4D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6,46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493C5CD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Задолженность в отчетном периоде выше по сравнению с аналогичным периодом прошлого года в связи с потреблением большего количества электроэнергии.</w:t>
                  </w: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 xml:space="preserve">В соответствии с условиями договора предусмотрено перечисление авансового платежа, который будет закрыт по результатам исполнения.  </w:t>
                  </w:r>
                </w:p>
              </w:tc>
            </w:tr>
          </w:tbl>
          <w:p w14:paraId="703FE101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0E8BA2AD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9D565D4" w14:textId="77777777" w:rsidR="004F5D84" w:rsidRDefault="004F5D84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  <w:p w14:paraId="5AB01FAD" w14:textId="77777777" w:rsidR="00414FB1" w:rsidRDefault="00414FB1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  <w:p w14:paraId="31BC0963" w14:textId="77777777" w:rsidR="00414FB1" w:rsidRDefault="00414FB1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  <w:p w14:paraId="15C0F721" w14:textId="77777777" w:rsidR="00414FB1" w:rsidRDefault="00414FB1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  <w:p w14:paraId="26D57080" w14:textId="77777777" w:rsidR="00414FB1" w:rsidRDefault="00414FB1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  <w:p w14:paraId="6549AB3A" w14:textId="77777777" w:rsidR="00414FB1" w:rsidRDefault="00414FB1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  <w:p w14:paraId="563AA9E9" w14:textId="77777777" w:rsidR="00414FB1" w:rsidRDefault="00414FB1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  <w:p w14:paraId="23952152" w14:textId="77777777" w:rsidR="00414FB1" w:rsidRDefault="00414FB1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  <w:p w14:paraId="2B2BF9D1" w14:textId="77777777" w:rsidR="00414FB1" w:rsidRDefault="00414FB1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  <w:p w14:paraId="511B9526" w14:textId="77777777" w:rsidR="00414FB1" w:rsidRDefault="00414FB1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  <w:p w14:paraId="2A35C4EC" w14:textId="77777777" w:rsidR="00414FB1" w:rsidRDefault="00414FB1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  <w:p w14:paraId="6BD05DB6" w14:textId="77777777" w:rsidR="00414FB1" w:rsidRDefault="00414FB1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  <w:p w14:paraId="33A7F000" w14:textId="77777777" w:rsidR="00414FB1" w:rsidRDefault="00414FB1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  <w:p w14:paraId="4CAF0498" w14:textId="77777777" w:rsidR="00414FB1" w:rsidRDefault="00414FB1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  <w:p w14:paraId="715017D4" w14:textId="77777777" w:rsidR="00414FB1" w:rsidRDefault="00414FB1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  <w:p w14:paraId="28AF0D56" w14:textId="77777777" w:rsidR="00414FB1" w:rsidRDefault="00414FB1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  <w:p w14:paraId="5E9F76AE" w14:textId="77777777" w:rsidR="00414FB1" w:rsidRDefault="00414FB1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  <w:p w14:paraId="2698D445" w14:textId="77777777" w:rsidR="00414FB1" w:rsidRDefault="00414FB1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  <w:p w14:paraId="5014137D" w14:textId="77777777" w:rsidR="00414FB1" w:rsidRDefault="00414FB1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  <w:p w14:paraId="2D3C73A2" w14:textId="77777777" w:rsidR="00414FB1" w:rsidRDefault="00414FB1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  <w:p w14:paraId="032CE3CC" w14:textId="77777777" w:rsidR="00414FB1" w:rsidRDefault="00414FB1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  <w:p w14:paraId="6C2BC9B2" w14:textId="77777777" w:rsidR="00414FB1" w:rsidRDefault="00414FB1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  <w:p w14:paraId="66E5A188" w14:textId="77777777" w:rsidR="00414FB1" w:rsidRDefault="00414FB1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  <w:p w14:paraId="1272D685" w14:textId="77777777" w:rsidR="004F5D84" w:rsidRDefault="004F5D84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  <w:tbl>
            <w:tblPr>
              <w:tblW w:w="10656" w:type="dxa"/>
              <w:tblLook w:val="04A0" w:firstRow="1" w:lastRow="0" w:firstColumn="1" w:lastColumn="0" w:noHBand="0" w:noVBand="1"/>
            </w:tblPr>
            <w:tblGrid>
              <w:gridCol w:w="886"/>
              <w:gridCol w:w="850"/>
              <w:gridCol w:w="853"/>
              <w:gridCol w:w="1416"/>
              <w:gridCol w:w="1563"/>
              <w:gridCol w:w="1134"/>
              <w:gridCol w:w="990"/>
              <w:gridCol w:w="852"/>
              <w:gridCol w:w="1983"/>
              <w:gridCol w:w="129"/>
            </w:tblGrid>
            <w:tr w:rsidR="004F5D84" w:rsidRPr="004F5D84" w14:paraId="56B79EBF" w14:textId="77777777" w:rsidTr="00414FB1">
              <w:trPr>
                <w:trHeight w:val="529"/>
              </w:trPr>
              <w:tc>
                <w:tcPr>
                  <w:tcW w:w="1065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A9C664F" w14:textId="77777777" w:rsid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Раздел 3 "Причины образования кредиторской задолженности и анализ изменения показателей кредиторской задолженности в сравнении с показателями аналогичного периода прошлого отчетного года"</w:t>
                  </w:r>
                </w:p>
                <w:p w14:paraId="3D0DD52B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F5D84" w:rsidRPr="004F5D84" w14:paraId="0AF590B0" w14:textId="77777777" w:rsidTr="00414FB1">
              <w:trPr>
                <w:gridAfter w:val="1"/>
                <w:wAfter w:w="129" w:type="dxa"/>
                <w:trHeight w:val="300"/>
              </w:trPr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51F434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126188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3474CC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71A081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27725E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5B6395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08001B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F8CF65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392962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F5D84" w:rsidRPr="004F5D84" w14:paraId="4C46B355" w14:textId="77777777" w:rsidTr="00414FB1">
              <w:trPr>
                <w:gridAfter w:val="1"/>
                <w:wAfter w:w="129" w:type="dxa"/>
                <w:trHeight w:val="829"/>
              </w:trPr>
              <w:tc>
                <w:tcPr>
                  <w:tcW w:w="88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9BC5BA0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Код главы ГАБС (наименование ВМО)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13B8A2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Код аналитики (АКПД, КВР, КИФ)</w:t>
                  </w:r>
                </w:p>
              </w:tc>
              <w:tc>
                <w:tcPr>
                  <w:tcW w:w="8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19ED87A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Номер (код) счета бюджетного учета</w:t>
                  </w:r>
                </w:p>
              </w:tc>
              <w:tc>
                <w:tcPr>
                  <w:tcW w:w="29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E36795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Кредиторская задолженность на конец отчетного периода</w:t>
                  </w:r>
                </w:p>
              </w:tc>
              <w:tc>
                <w:tcPr>
                  <w:tcW w:w="4959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099FDD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Анализ изменения показателей кредиторской задолженности в сравнении с показателями аналогичного периода прошлого отчетного года</w:t>
                  </w:r>
                </w:p>
              </w:tc>
            </w:tr>
            <w:tr w:rsidR="004F5D84" w:rsidRPr="004F5D84" w14:paraId="1FCF853B" w14:textId="77777777" w:rsidTr="00414FB1">
              <w:trPr>
                <w:gridAfter w:val="1"/>
                <w:wAfter w:w="129" w:type="dxa"/>
                <w:trHeight w:val="2232"/>
              </w:trPr>
              <w:tc>
                <w:tcPr>
                  <w:tcW w:w="88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5A99BF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C9145E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A1F4E22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057573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Сумма задолженности на конец отчетного периода, руб.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77836F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Причины образования задолженности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DFA1E2D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Сумма задолженности за аналогичный период прошлого отчетного года, руб.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F6490EC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Изменение (гр.4 - гр.6)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01868C8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% увеличения (уменьшения) задолженности (гр.4/гр.6)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78793A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Пояснение (причины УВЕЛИЧЕНИЯ/УМЕНЬШЕНИЯ/БЕЗ ДВИЖЕНИЯ задолженности)</w:t>
                  </w:r>
                </w:p>
              </w:tc>
            </w:tr>
            <w:tr w:rsidR="004F5D84" w:rsidRPr="004F5D84" w14:paraId="3FBE9BEA" w14:textId="77777777" w:rsidTr="00414FB1">
              <w:trPr>
                <w:gridAfter w:val="1"/>
                <w:wAfter w:w="129" w:type="dxa"/>
                <w:trHeight w:val="300"/>
              </w:trPr>
              <w:tc>
                <w:tcPr>
                  <w:tcW w:w="8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736F622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28D5E0E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45E018C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56E361F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01F0A11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1D220F8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5478810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43B899A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B1AD733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</w:tr>
            <w:tr w:rsidR="004F5D84" w:rsidRPr="004F5D84" w14:paraId="36A87AE1" w14:textId="77777777" w:rsidTr="00414FB1">
              <w:trPr>
                <w:gridAfter w:val="1"/>
                <w:wAfter w:w="129" w:type="dxa"/>
                <w:trHeight w:val="3060"/>
              </w:trPr>
              <w:tc>
                <w:tcPr>
                  <w:tcW w:w="8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E70386D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2316DF7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D545155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140160211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6C0F0FC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694878,29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2E9F2DA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Начисление  резерва</w:t>
                  </w:r>
                  <w:proofErr w:type="gramEnd"/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предстоящих отпусков сотрудников аппарата Совета депутатов муниципального округа Даниловский на 2026 года.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4165FFA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621949,83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96CB7EF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72928,46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AD93BEB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11,73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ADC7605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Задолженность в отчетном периоде выше по сравнению с прошлым годом в связи с выплатой отпускных в меньшем объеме. </w:t>
                  </w: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 xml:space="preserve"> </w:t>
                  </w:r>
                </w:p>
              </w:tc>
            </w:tr>
            <w:tr w:rsidR="004F5D84" w:rsidRPr="004F5D84" w14:paraId="6AB0CA14" w14:textId="77777777" w:rsidTr="00414FB1">
              <w:trPr>
                <w:gridAfter w:val="1"/>
                <w:wAfter w:w="129" w:type="dxa"/>
                <w:trHeight w:val="3315"/>
              </w:trPr>
              <w:tc>
                <w:tcPr>
                  <w:tcW w:w="8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87ED424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49D5114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23C4A9A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140160213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E06C3B9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181200,07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48F5883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Начисление резерва страховых взносов по предстоящим отпускам сотрудников аппарата Совета депутатов муниципального округа Даниловский на 2026 года.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A437E4C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149173,74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A50E1E2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32026,33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BF65E62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21,47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58FDA27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Задолженность в отчетном периоде выше по сравнению с прошлым годом в связи с выплатой отпускных в меньшем объеме. </w:t>
                  </w: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 xml:space="preserve"> </w:t>
                  </w:r>
                </w:p>
              </w:tc>
            </w:tr>
            <w:tr w:rsidR="004F5D84" w:rsidRPr="004F5D84" w14:paraId="5B686988" w14:textId="77777777" w:rsidTr="00414FB1">
              <w:trPr>
                <w:gridAfter w:val="1"/>
                <w:wAfter w:w="129" w:type="dxa"/>
                <w:trHeight w:val="4080"/>
              </w:trPr>
              <w:tc>
                <w:tcPr>
                  <w:tcW w:w="8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B455F26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lastRenderedPageBreak/>
                    <w:t>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F5FEE46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E44D97C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140160221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2582CA9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10289,01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BB6153B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Начислена предоплата за предоставление доступа к сети Интернет и услуг мобильной связи за декабрь 2025 года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3593701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5794,16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09FC82E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4494,85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CCF43A2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77,58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6627D2A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Увеличение задолженности по сравнению с аналогичным периодом прошлого года связано с повышением расходов на услуги связи и предоставление счетов и актов на оплату в январе 2026 года </w:t>
                  </w:r>
                </w:p>
              </w:tc>
            </w:tr>
            <w:tr w:rsidR="004F5D84" w:rsidRPr="004F5D84" w14:paraId="1D5DA319" w14:textId="77777777" w:rsidTr="00414FB1">
              <w:trPr>
                <w:gridAfter w:val="1"/>
                <w:wAfter w:w="129" w:type="dxa"/>
                <w:trHeight w:val="4335"/>
              </w:trPr>
              <w:tc>
                <w:tcPr>
                  <w:tcW w:w="8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FA565DD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741B8DD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247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F5DA723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140160223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6E1D409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3894,49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9053CF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Начислена предоплата за поставку электроэнергии за декабрь 2025 года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BEBED50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3454,10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4FBE9FC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440,39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F4C2CCF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12,75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5FC6E2" w14:textId="77777777" w:rsidR="004F5D84" w:rsidRPr="004F5D84" w:rsidRDefault="004F5D84" w:rsidP="004F5D84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F5D8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Увеличение задолженности по сравнению с аналогичным периодом прошлого года связано с повышением расходов на электроэнергию и предоставление счетов и актов на оплату в январе 2026 года </w:t>
                  </w:r>
                </w:p>
              </w:tc>
            </w:tr>
          </w:tbl>
          <w:p w14:paraId="2C46A523" w14:textId="77777777" w:rsidR="004F5D84" w:rsidRDefault="004F5D84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  <w:p w14:paraId="2D3A0C41" w14:textId="77777777" w:rsidR="004F5D84" w:rsidRDefault="004F5D84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  <w:p w14:paraId="26F4D99B" w14:textId="77777777" w:rsidR="004F5D84" w:rsidRDefault="004F5D84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  <w:p w14:paraId="1A4CC76F" w14:textId="77777777" w:rsidR="004F5D84" w:rsidRPr="00C00649" w:rsidRDefault="004F5D84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0BDA194A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DEC86EA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16007E1A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Информация о выявленных недостачах денежных средств и денежных документов, а также принимаемые меры для обеспечения их сохранности</w:t>
            </w:r>
          </w:p>
          <w:p w14:paraId="2BF25CAD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75A41020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908E773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Недостач денежных средств и денежных документов в 2025 году не выявлено.</w:t>
            </w:r>
          </w:p>
        </w:tc>
      </w:tr>
      <w:tr w:rsidR="003A5FD9" w:rsidRPr="00C00649" w14:paraId="7EDF4E5E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20B844D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2FD5AF05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7CE6887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248CF0F7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 xml:space="preserve">Анализ увеличения (уменьшения) показателей финансовых вложений на конец отчетного периода (ф. 0503171) в сравнении с показателями на начало </w:t>
            </w:r>
            <w:proofErr w:type="gramStart"/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года  с</w:t>
            </w:r>
            <w:proofErr w:type="gramEnd"/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 xml:space="preserve"> указанием причин образования остатков по счету 121500000 «Вложения в финансовые активы»</w:t>
            </w:r>
          </w:p>
          <w:p w14:paraId="4E04F91D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51D50819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3A8125B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Финансовые вложения на конец 2025 отсутствуют.</w:t>
            </w:r>
          </w:p>
        </w:tc>
      </w:tr>
      <w:tr w:rsidR="003A5FD9" w:rsidRPr="00C00649" w14:paraId="642F63B5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4A47528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5151E774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911116A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6ED5D03E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Информация о суммах изменений вступительного баланса (в том числе забалансовых счетов) в отчетном периоде в связи с внедрением федеральных стандартов бухгалтерского учета государственных финансов, отраженных в ф. 0503173 по коду причины «02»</w:t>
            </w:r>
          </w:p>
          <w:p w14:paraId="1BA2D855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1F4734A3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E293E48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Показатели по коду причины "02" в отчетном периоде отсутствуют.</w:t>
            </w:r>
          </w:p>
        </w:tc>
      </w:tr>
      <w:tr w:rsidR="003A5FD9" w:rsidRPr="00C00649" w14:paraId="6A058590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9BB1AF3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56E5C7F3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0E1C25F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1FEAA748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Информация об ошибках предшествующих годов, отраженных после утверждения бухгалтерской отчетности в ф. 0503173 по коду причины «03» (за исключением кода "03.5") и коду причины «07»: по каждой статье бухгалтерской отчетности (в том числе забалансовых счетов) в структуре: - описание ошибки; - сумма корректировки по каждой статье бухгалтерской (финансовой) отчетности за каждый из предшествующих годов; - общая сумма корректировки на начало самого раннего из предшествующих годов, для которого в отчетности раскрываются сравнительные показатели; - описание причин, по которым корректировка сравнительных показателей бухгалтерской (финансовой) отчетности за один или несколько предшествующих годов не представляется возможным; - описание способа отражения исправления ошибки с указанием периода, в котором отражены исправления.</w:t>
            </w:r>
          </w:p>
          <w:p w14:paraId="082036DF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26B61D4B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834A54C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Показатели по коду причины "03" (за исключением кода "03.5</w:t>
            </w:r>
            <w:proofErr w:type="gramStart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")  и</w:t>
            </w:r>
            <w:proofErr w:type="gramEnd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 коду причины "07" в отчетном периоде отсутствуют.</w:t>
            </w:r>
          </w:p>
        </w:tc>
      </w:tr>
      <w:tr w:rsidR="003A5FD9" w:rsidRPr="00C00649" w14:paraId="7CFA3334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38E8111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13D08800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58B3D6A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69BFD828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1. Информация о суммах корректировок (по балансовым и забалансовым счетам), связанных с ретроспективным применением измененной учетной политики, с указанием обоснования и содержания ее изменения, порядок отражения последствий изменений в отчетности, включая указание на обстоятельства, в связи с которыми применяется выбранный способ ведения бухгалтерского учета, и дату, с которой он применяется по показателям, отраженным по коду причины «04» в ф. 0503173; 2. Информация о суммах корректировок (по балансовым и забалансовым счетам) при ретроспективном применении измененной учетной политики, раскрывающая: - суммы корректировок по каждой статье бухгалтерской отчетности за каждый из предшествующих годов, для которых в бухгалтерской отчетности раскрываются сравнительные показатели; - суммы корректировок, относящихся к годам, предшествующим тем, для которых в отчетности субъекта учета раскрываются сравнительные показатели</w:t>
            </w:r>
          </w:p>
          <w:p w14:paraId="7FD46FC3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4C542A49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1FE1ABA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Показатели по коду причины "04" в отчетном периоде отсутствуют.</w:t>
            </w:r>
          </w:p>
        </w:tc>
      </w:tr>
      <w:tr w:rsidR="003A5FD9" w:rsidRPr="00C00649" w14:paraId="622DF2F4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3E70EC1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06A65330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7CE699D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64B65FE2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 xml:space="preserve">Информация по показателям (по балансовым и забалансовым счетам), отраженным по коду </w:t>
            </w:r>
            <w:proofErr w:type="gramStart"/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причины  05</w:t>
            </w:r>
            <w:proofErr w:type="gramEnd"/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 xml:space="preserve"> «Пересчеты показателей отчетности» в ф. 0503173</w:t>
            </w:r>
          </w:p>
          <w:p w14:paraId="4389559D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54AA327E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5D2022C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Показатели по коду причины "05" в отчетном периоде отсутствуют.</w:t>
            </w:r>
          </w:p>
        </w:tc>
      </w:tr>
      <w:tr w:rsidR="003A5FD9" w:rsidRPr="00C00649" w14:paraId="19B38CD0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05FE3D1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66E28D98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82DD0C5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30AEDACD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 xml:space="preserve">Информация о причинах (целях) открытия счетов в кредитных организациях, о причинах образования остатка денежных средств на счетах, а также обоснование необходимости наличия банковских счетов в случае отсутствия по ним операций в течение 2-х и более лет (на </w:t>
            </w: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lastRenderedPageBreak/>
              <w:t>основании ф. 0503178-бюджетная деятельность)</w:t>
            </w:r>
          </w:p>
          <w:p w14:paraId="3F0CBE05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03B14022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C5F00E0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lastRenderedPageBreak/>
              <w:t>Счета в кредитных организациях не открывались.</w:t>
            </w:r>
          </w:p>
        </w:tc>
      </w:tr>
      <w:tr w:rsidR="003A5FD9" w:rsidRPr="00C00649" w14:paraId="192A7EEE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1F61904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433A97CE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E542716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4D6C3A6D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Информация о выявленных отклонениях при сверке: сумм денежных средств и эквивалентов денежных средств, отраженных в Отчете о движении денежных средств (ф. 0503123), со статьей «Денежные средства и эквиваленты денежных средств» Баланса (ф. 0503130) и иных отчетов, содержащих информацию об остатках и изменениях денежных средств и эквивалентов; сумм денежных потоков от текущих операций, представленных в Отчете о движении денежных средств (ф. 0503123), и чистого операционного результата, отраженного в Отчете о финансовых результатах деятельности  (ф. 0503121)</w:t>
            </w:r>
          </w:p>
          <w:p w14:paraId="4C0A53B8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298C7444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9DE8B22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Сверка показателей осуществлена на основании установленных </w:t>
            </w:r>
            <w:proofErr w:type="spellStart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междокументных</w:t>
            </w:r>
            <w:proofErr w:type="spellEnd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 контрольных соотношений. При наличии отклонений, пояснения отражаются в Разделе 5.2. настоящей Пояснительной записки.</w:t>
            </w:r>
          </w:p>
        </w:tc>
      </w:tr>
      <w:tr w:rsidR="003A5FD9" w:rsidRPr="00C00649" w14:paraId="36808EDD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C55112C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6749AC70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CF591DE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73E9ECD4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Сверка итоговых показателей Отчета о движении денежных средств с показателями Отчета об исполнении бюджета</w:t>
            </w:r>
          </w:p>
          <w:p w14:paraId="702F7288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2D1263B7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0692739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Сверка показателей осуществлена на основании установленных </w:t>
            </w:r>
            <w:proofErr w:type="spellStart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междокументных</w:t>
            </w:r>
            <w:proofErr w:type="spellEnd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 контрольных соотношений. При наличии отклонений, пояснения отражаются в Разделе 5.2. настоящей Пояснительной записки.</w:t>
            </w:r>
          </w:p>
        </w:tc>
      </w:tr>
      <w:tr w:rsidR="003A5FD9" w:rsidRPr="00C00649" w14:paraId="43EDA3C2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5882B30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0895B290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EB022B8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1630AD23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Информация по остаткам, отраженным по счету бюджетного учета 120134000 «Касса»</w:t>
            </w:r>
          </w:p>
          <w:p w14:paraId="646EC558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1F380BBE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1EFFFDF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На конец 2025 года   на счете 1 20134 000 "Касса" показатели отсутствуют.</w:t>
            </w:r>
          </w:p>
        </w:tc>
      </w:tr>
      <w:tr w:rsidR="003A5FD9" w:rsidRPr="00C00649" w14:paraId="32516A68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4274A12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2D8BDC55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86BF7C3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610CE7D4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Информация по остаткам, отраженным по счету бюджетного учета 120135000 «Денежные документы»</w:t>
            </w:r>
          </w:p>
          <w:p w14:paraId="472690BF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688ED788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99086C3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На конец 2025 года на счете 1 20135 000 «Денежные документы» показатели отсутствуют.</w:t>
            </w:r>
          </w:p>
        </w:tc>
      </w:tr>
      <w:tr w:rsidR="003A5FD9" w:rsidRPr="00C00649" w14:paraId="5BE07424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AEF5D70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44702859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CD47CD8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0EC6364D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Расшифровка показателей по забалансовому счету 01 «Имущество, полученное в пользование».</w:t>
            </w:r>
          </w:p>
          <w:p w14:paraId="651DD48E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3954D844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DC8B33A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На конец отчетного периода на забалансовом счете 01 «Имущество, полученное в пользование» учитывается имущество, полученное в пользование на общую сумму 315 064,03 рублей.</w:t>
            </w:r>
          </w:p>
          <w:p w14:paraId="37908A31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- Недвижимое имущество:</w:t>
            </w:r>
          </w:p>
          <w:p w14:paraId="3F1256A3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полученные по договорам безвозмездного пользования с ДГИ города Москвы объекты недвижимого имущества в сумме 315 064,03 рублей.</w:t>
            </w:r>
          </w:p>
          <w:p w14:paraId="3D928714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2D933A5A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6F985EB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4DABA67A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4324818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18047971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Расшифровка показателей по забалансовому счету 02 «Материальные ценности на хранении»</w:t>
            </w:r>
          </w:p>
          <w:p w14:paraId="7EB3AAC8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039DDC26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D1E7ED8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На конец 2025 года по забалансовому счету 02 "Материальные ценности на хранении" учитываются материальные ценности:</w:t>
            </w:r>
          </w:p>
          <w:p w14:paraId="25F50D38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- признанные </w:t>
            </w:r>
            <w:proofErr w:type="spellStart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неактивом</w:t>
            </w:r>
            <w:proofErr w:type="spellEnd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 (счет 02.3-основные средства, не признанные активом – 4,0 рублей, счет 02.4 – материальные запасы, не признанные активом – 27,0 рублей ) на общую сумму 31,0 рублей, в том числе: в сумме 31,0 рублей - имущество, в отношении которого принято решение о списании (прекращении эксплуатации), в том числе в связи с физическим или моральным износом и невозможностью (нецелесообразностью) его дальнейшего использования, до момента его демонтажа (утилизации, уничтожения).</w:t>
            </w:r>
          </w:p>
          <w:p w14:paraId="4508F4A3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301120A0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A13437E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6E5EFDE0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C1D6A87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2F8C6CB3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Расшифровка показателей по забалансовому счету 03 «Бланки строгой отчетности»</w:t>
            </w:r>
          </w:p>
          <w:p w14:paraId="3932D696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4633373F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D3E5BDB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На конец 2025 </w:t>
            </w:r>
            <w:proofErr w:type="gramStart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года  по</w:t>
            </w:r>
            <w:proofErr w:type="gramEnd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 забалансовому счету 03 "Бланки строгой отчетности" учитываются бланки строгой отчетности, выданные лицам, ответственным за выдачу БСО, в общей сумме 1,00 рубль: </w:t>
            </w:r>
          </w:p>
          <w:p w14:paraId="6C56C689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- вкладыш в трудовые книжки на сумму 1,00 рублей в количестве 1 штуки.</w:t>
            </w:r>
          </w:p>
          <w:p w14:paraId="580B57C6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39A9CFC0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5DB5071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501B79D2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293C447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39DDB53B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Расшифровка показателей по забалансовому счету 04 «Сомнительная задолженность»</w:t>
            </w:r>
          </w:p>
          <w:p w14:paraId="097E5F52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58E12A01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91D4D7F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На конец 2025 года по забалансовому счету 04 "Сомнительная задолженность" учтена сомнительная задолженность в сумме 123,93 рублей:        </w:t>
            </w:r>
          </w:p>
          <w:p w14:paraId="0432E3AC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 - дебиторская </w:t>
            </w:r>
            <w:proofErr w:type="gramStart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задолженность  с</w:t>
            </w:r>
            <w:proofErr w:type="gramEnd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 момента признания ее нереальной к взысканию и списанию с балансового учета для наблюдения в течение пяти лет за возможностью для взыскания в случае изменения имущественного положения должника (ОАО «Вымпелком») в сумме 73,55 рублей;  </w:t>
            </w:r>
          </w:p>
          <w:p w14:paraId="2F54EB7E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 - дебиторская задолженность  с момента признания ее нереальной к взысканию и списанию с балансового учета для наблюдения в течение пяти лет за возможностью для взыскания в случае изменения имущественного положения должника (ООО «</w:t>
            </w:r>
            <w:proofErr w:type="spellStart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Мастерхост</w:t>
            </w:r>
            <w:proofErr w:type="spellEnd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»)  в сумме 50,38 рублей.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7DB087A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37829799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115419A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7ACE57F7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7FE9C94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6DC9A4FE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Расшифровка показателей по забалансовому счету 07 «Награды, призы, кубки и ценные подарки, сувениры»</w:t>
            </w:r>
          </w:p>
          <w:p w14:paraId="6BCB8C32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5B07B2B5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9119E08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На конец 2025 года по забалансовому счету 07 "Награды, призы, кубки и ценные подарки, сувениры" показатели отсутствуют.</w:t>
            </w:r>
          </w:p>
          <w:p w14:paraId="13E88A20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5FCB7098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15FB5BA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29054815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AAB50C3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3945FEA4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Расшифровка показателей по забалансовому счету 09 «Запасные части к транспортным средствам, выданные взамен изношенных»</w:t>
            </w:r>
          </w:p>
          <w:p w14:paraId="4D469D17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2315F845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AAB2778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На конец 2025 года   по забалансовому счету 09 "Запасные части к транспортным средствам, выданные взамен изношенных</w:t>
            </w:r>
            <w:proofErr w:type="gramStart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"  показатели</w:t>
            </w:r>
            <w:proofErr w:type="gramEnd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 отсутствуют.</w:t>
            </w:r>
          </w:p>
        </w:tc>
      </w:tr>
      <w:tr w:rsidR="003A5FD9" w:rsidRPr="00C00649" w14:paraId="2A42C0F2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CE22218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3F287253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DF0CFAA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7A5B9F18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Расшифровка показателей по забалансовому счету 10 «Обеспечение исполнения обязательств»</w:t>
            </w:r>
          </w:p>
          <w:p w14:paraId="27F362F7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358E4429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DB6B6C4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На конец 2025 года по забалансовому счету 10 "Обеспечение исполнения обязательств</w:t>
            </w:r>
            <w:proofErr w:type="gramStart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"  показатели</w:t>
            </w:r>
            <w:proofErr w:type="gramEnd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 отсутствуют.</w:t>
            </w:r>
          </w:p>
        </w:tc>
      </w:tr>
      <w:tr w:rsidR="003A5FD9" w:rsidRPr="00C00649" w14:paraId="13BEC711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DD9B342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61BC5165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8E793B8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071ACAB2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Расшифровка показателей по забалансовому счету 11 «Государственные и муниципальные гарантии»</w:t>
            </w:r>
          </w:p>
          <w:p w14:paraId="29DEC1C4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5261954A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08B7DB0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На конец 2025 </w:t>
            </w:r>
            <w:proofErr w:type="gramStart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года  по</w:t>
            </w:r>
            <w:proofErr w:type="gramEnd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 забалансовому счету 11 «Государственные и муниципальные гарантии» показатели отсутствуют.</w:t>
            </w:r>
          </w:p>
        </w:tc>
      </w:tr>
      <w:tr w:rsidR="003A5FD9" w:rsidRPr="00C00649" w14:paraId="65A0D1CC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4A9153F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266981E1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59D7CFD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65D0D5BE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Расшифровка показателей по забалансовому счету 16 «Переплаты пенсий и пособий вследствие неправильного применения законодательства о пенсиях и пособиях, счетных ошибок»</w:t>
            </w:r>
          </w:p>
          <w:p w14:paraId="17A4C014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2DA777F8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8A85A92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На конец 2025 года   по забалансовому счету 16 «Переплаты пенсий и пособий вследствие неправильного применения законодательства о пенсиях и пособиях, счетных ошибок» показатели отсутствуют.</w:t>
            </w:r>
          </w:p>
        </w:tc>
      </w:tr>
      <w:tr w:rsidR="003A5FD9" w:rsidRPr="00C00649" w14:paraId="2B3F5E5B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CB23246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2E879114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9138201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3C6F3C00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Расшифровка показателей по забалансовому счету 17 «Поступления денежных средств»</w:t>
            </w:r>
          </w:p>
          <w:p w14:paraId="125DAB76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1721F002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1D5837C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На конец 2025 года по забалансовому счету 17 "Поступления денежных средств" отражены операции по поступлению денежных средств на счета учреждения, по поступлению сумм в пути на счета учреждения и по поступлению денежных средств в кассу учреждения. В строках 171-</w:t>
            </w:r>
            <w:proofErr w:type="gramStart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173  раскрыты</w:t>
            </w:r>
            <w:proofErr w:type="gramEnd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 аналитические данные по поступлениям в разрезе доходов, расходов и источников финансирования дефицита в общей сумме 94 999,20 рублей</w:t>
            </w:r>
          </w:p>
        </w:tc>
      </w:tr>
      <w:tr w:rsidR="003A5FD9" w:rsidRPr="00C00649" w14:paraId="28EFFB08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C014CE7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2231DE50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97E35D4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19E3CA47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Расшифровка показателей по забалансовому счету 18 «Выбытия денежных средств»</w:t>
            </w:r>
          </w:p>
          <w:p w14:paraId="52D3CB7A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6E5CE338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E2A787A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На конец 2025 года по забалансовому счету 18 "Выбытия денежных средств" отражены операции по выбытию денежных средств со счетов учреждения, по выбытию сумм в пути на счета учреждения, по выбытию денежных средств из кассы Учреждения.                                                                                                                                                                                                         В строках 182-183 раскрыты аналитические данные по выбытиям в разрезе расходов и источников финансирования дефицита в общей сумме 184 999,20 рублей.</w:t>
            </w:r>
          </w:p>
        </w:tc>
      </w:tr>
      <w:tr w:rsidR="003A5FD9" w:rsidRPr="00C00649" w14:paraId="32678818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C85C1C4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782E455E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8DCDF5A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5C716958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Расшифровка показателей по забалансовому счету 19 «Невыясненные поступления прошлых лет»</w:t>
            </w:r>
          </w:p>
          <w:p w14:paraId="05E33328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7816097A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2281E10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На конец 2025 года по забалансовому счету 19 «Невыясненные поступления прошлых лет» показатели отсутствуют.</w:t>
            </w:r>
          </w:p>
        </w:tc>
      </w:tr>
      <w:tr w:rsidR="003A5FD9" w:rsidRPr="00C00649" w14:paraId="5C31E141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07679F8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37342EF4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09B635E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643FC98A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Расшифровка показателей по забалансовому счету 20 «Задолженность, не востребованная кредиторами»</w:t>
            </w:r>
          </w:p>
          <w:p w14:paraId="7E239C68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7FBD375F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7FA1324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На конец 2025 </w:t>
            </w:r>
            <w:proofErr w:type="gramStart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года  по</w:t>
            </w:r>
            <w:proofErr w:type="gramEnd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 забалансовому счету 20 "Задолженность, невостребованная кредиторами" показатели отсутствуют.</w:t>
            </w:r>
          </w:p>
        </w:tc>
      </w:tr>
      <w:tr w:rsidR="003A5FD9" w:rsidRPr="00C00649" w14:paraId="05C131FD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9023BEA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57B5678D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FA7704E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358C3F6C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Расшифровка показателей по забалансовому счету 21 «Основные средства в эксплуатации»</w:t>
            </w:r>
          </w:p>
          <w:p w14:paraId="6069D8F7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425D2893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55274AC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По забалансовому счету 21 "Основные средства в эксплуатации" осуществляется учет основных средств стоимостью до 10 000,00 рублей по цене приобретения. </w:t>
            </w:r>
          </w:p>
          <w:p w14:paraId="2752CC45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По состоянию на начало года остаток основных средств составлял 237 743,23 рублей. (По </w:t>
            </w:r>
            <w:proofErr w:type="gramStart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счетам  21.34</w:t>
            </w:r>
            <w:proofErr w:type="gramEnd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 в сумме 62 961,90 рублей, 21.36 в сумме 104 145,49 рублей, 21.38 в сумме 70 635,84 рублей.)</w:t>
            </w:r>
          </w:p>
          <w:p w14:paraId="2E73281E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В течение года движения по счету не было. </w:t>
            </w:r>
          </w:p>
          <w:p w14:paraId="12D6D175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Остаток на конец 2025 года составил 237 743,23 рублей.</w:t>
            </w:r>
          </w:p>
          <w:p w14:paraId="562E1EB7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5C2234B9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AEA5DEE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2F7B7488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74D7F11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63106B31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Расшифровка показателей по забалансовому счету 23 «Периодические издания для пользования»</w:t>
            </w:r>
          </w:p>
          <w:p w14:paraId="07ED239A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5C65F21A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E3257FB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На конец 2025 года по забалансовому счету 23 "Периодические издания для пользования" показатели отсутствуют.</w:t>
            </w:r>
          </w:p>
        </w:tc>
      </w:tr>
      <w:tr w:rsidR="003A5FD9" w:rsidRPr="00C00649" w14:paraId="4C94EC29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E05B8F2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7505E908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834CF58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6D030C67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Расшифровка показателей по забалансовому счету 25 «Имущество, переданное в возмездное пользование (аренду)»</w:t>
            </w:r>
          </w:p>
          <w:p w14:paraId="28FFB66B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1CF0C47A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EC9C0A7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На конец 2025 </w:t>
            </w:r>
            <w:proofErr w:type="gramStart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года  по</w:t>
            </w:r>
            <w:proofErr w:type="gramEnd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 забалансовому счету 25 "Имущество, переданное в возмездное пользование (аренду)" показатели отсутствуют.</w:t>
            </w:r>
          </w:p>
        </w:tc>
      </w:tr>
      <w:tr w:rsidR="003A5FD9" w:rsidRPr="00C00649" w14:paraId="4449F855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BAE2EE5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0C94E1FD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4C8B95B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037BC828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Расшифровка показателей по забалансовому счету 26 «Имущество, переданное в безвозмездное пользование»</w:t>
            </w:r>
          </w:p>
          <w:p w14:paraId="3EBA4FD1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2D3DF210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6AE7150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На конец 2025 года по забалансовому счету 26 "Имущество, переданное в безвозмездное пользование" показатели отсутствуют.</w:t>
            </w:r>
          </w:p>
        </w:tc>
      </w:tr>
      <w:tr w:rsidR="003A5FD9" w:rsidRPr="00C00649" w14:paraId="03033596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C7C2E26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3CD14F72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D2B5D70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73AC5007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Расшифровка показателей по забалансовому счету 27 «Материальные ценности, выданные в личное пользование работникам (сотрудникам)»</w:t>
            </w:r>
          </w:p>
          <w:p w14:paraId="3487122E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1C37AA86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4E18EFF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На конец 2025 года по забалансовому счету </w:t>
            </w:r>
            <w:proofErr w:type="gramStart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27  "</w:t>
            </w:r>
            <w:proofErr w:type="gramEnd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Материальные ценности, выданные в личное пользование работникам (сотрудникам)" показатели отсутствуют.</w:t>
            </w:r>
          </w:p>
        </w:tc>
      </w:tr>
      <w:tr w:rsidR="003A5FD9" w:rsidRPr="00C00649" w14:paraId="6D4EAAC2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E95A103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2CD7A63B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DF9B6EE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6FEBBC5F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lastRenderedPageBreak/>
              <w:t>Информация по счету бюджетного учета 140110173</w:t>
            </w:r>
          </w:p>
          <w:p w14:paraId="41A688B7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6A584910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810DF6D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lastRenderedPageBreak/>
              <w:t xml:space="preserve">Информация представлена в приложении к Пояснительной записке «Расшифровка показателей по счету 1 401 10 </w:t>
            </w:r>
            <w:proofErr w:type="gramStart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173  «</w:t>
            </w:r>
            <w:proofErr w:type="gramEnd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Чрезвычайные доходы от операций с активами», отраженных в Отчете о финансовых результатах деятельности (ф. 0503121)»</w:t>
            </w:r>
          </w:p>
        </w:tc>
      </w:tr>
      <w:tr w:rsidR="003A5FD9" w:rsidRPr="00C00649" w14:paraId="5AF1C1CA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7F7DD4D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5E15A3D4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7A45507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465E9D92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Информация по счету бюджетного учета 140110176</w:t>
            </w:r>
          </w:p>
          <w:p w14:paraId="36CFD470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109813CF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F3ADF5E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Информация представлена в приложении к Пояснительной </w:t>
            </w:r>
            <w:proofErr w:type="gramStart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записке  «</w:t>
            </w:r>
            <w:proofErr w:type="gramEnd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Расшифровка показателей по счету 1 401 10 </w:t>
            </w:r>
            <w:proofErr w:type="gramStart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176  «</w:t>
            </w:r>
            <w:proofErr w:type="gramEnd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Доходы от оценки активов и обязательств», отраженных в Отчете о финансовых результатах деятельности (ф. 0503121) (</w:t>
            </w:r>
            <w:proofErr w:type="spellStart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справочно</w:t>
            </w:r>
            <w:proofErr w:type="spellEnd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)»</w:t>
            </w:r>
          </w:p>
        </w:tc>
      </w:tr>
      <w:tr w:rsidR="003A5FD9" w:rsidRPr="00C00649" w14:paraId="73C62A7F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53CAD03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65B5C366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459453F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3FC24626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 xml:space="preserve">Информация по счету бюджетного </w:t>
            </w:r>
            <w:proofErr w:type="gramStart"/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учета  140110180</w:t>
            </w:r>
            <w:proofErr w:type="gramEnd"/>
          </w:p>
          <w:p w14:paraId="1B09E57E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3036BD48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9161BD7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Информация представлена в приложении к Пояснительной записке «Расшифровка показателей по счету 1 401 10 180 «Прочие доходы», отраженных в Отчете о финансовых результатах деятельности (ф. 0503121)»</w:t>
            </w:r>
          </w:p>
        </w:tc>
      </w:tr>
      <w:tr w:rsidR="003A5FD9" w:rsidRPr="00C00649" w14:paraId="389EF0ED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F083325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5318565B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48D8FCF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05D2DEA1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 xml:space="preserve">Информация по счету бюджетного </w:t>
            </w:r>
            <w:proofErr w:type="gramStart"/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учета  140110190</w:t>
            </w:r>
            <w:proofErr w:type="gramEnd"/>
          </w:p>
          <w:p w14:paraId="05B38595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43C124DA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7B5C7DC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Информация представлена в приложении к Пояснительной записке «Расшифровка показателей по счету 1 401 10 190 «Безвозмездные неденежные поступления в сектор государственного управления», отраженных в Отчете о финансовых результатах деятельности (ф. 0503121)»</w:t>
            </w:r>
          </w:p>
        </w:tc>
      </w:tr>
      <w:tr w:rsidR="003A5FD9" w:rsidRPr="00C00649" w14:paraId="64E1C52B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3AFA88B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731D57F8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455F94F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314A1AC0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Информация по счету бюджетного учета 140120273</w:t>
            </w:r>
          </w:p>
          <w:p w14:paraId="02F1036E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5EBE6C4E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7C4AA19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Информация представлена в приложении к Пояснительной записке «Расшифровка показателей по счету 1 401 20 273 «Чрезвычайные расходы </w:t>
            </w:r>
            <w:proofErr w:type="gramStart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по  операциям</w:t>
            </w:r>
            <w:proofErr w:type="gramEnd"/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 с активами», отраженных в Отчете о финансовых результатах деятельности (ф. 0503121)»</w:t>
            </w:r>
          </w:p>
        </w:tc>
      </w:tr>
      <w:tr w:rsidR="003A5FD9" w:rsidRPr="00C00649" w14:paraId="244E22CE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A4DC367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622DBF78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49A1140" w14:textId="77777777" w:rsidR="003A5FD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0594AAFB" w14:textId="77777777" w:rsidR="004C73DB" w:rsidRDefault="004C73DB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337013C9" w14:textId="77777777" w:rsidR="004C73DB" w:rsidRDefault="004C73DB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6DB3CD20" w14:textId="77777777" w:rsidR="004C73DB" w:rsidRDefault="004C73DB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25D12CED" w14:textId="77777777" w:rsidR="004C73DB" w:rsidRDefault="004C73DB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64B553F1" w14:textId="77777777" w:rsidR="004C73DB" w:rsidRDefault="004C73DB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1B622835" w14:textId="77777777" w:rsidR="004C73DB" w:rsidRDefault="004C73DB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1FAD4310" w14:textId="77777777" w:rsidR="004C73DB" w:rsidRDefault="004C73DB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54F26D11" w14:textId="77777777" w:rsidR="004C73DB" w:rsidRDefault="004C73DB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734EFE1D" w14:textId="77777777" w:rsidR="004C73DB" w:rsidRDefault="004C73DB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38778FAD" w14:textId="77777777" w:rsidR="004C73DB" w:rsidRDefault="004C73DB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5DCFC47A" w14:textId="77777777" w:rsidR="004C73DB" w:rsidRDefault="004C73DB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06B153FE" w14:textId="77777777" w:rsidR="004C73DB" w:rsidRDefault="004C73DB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5BEFD851" w14:textId="77777777" w:rsidR="004C73DB" w:rsidRPr="00C00649" w:rsidRDefault="004C73DB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1B4A793D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lastRenderedPageBreak/>
              <w:t xml:space="preserve">Информация по счету бюджетного </w:t>
            </w:r>
            <w:proofErr w:type="gramStart"/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учета  140150</w:t>
            </w:r>
            <w:proofErr w:type="gramEnd"/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ХХХ в разрезе КОСГУ</w:t>
            </w:r>
          </w:p>
          <w:p w14:paraId="1319DC86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336919E5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tbl>
            <w:tblPr>
              <w:tblW w:w="11514" w:type="dxa"/>
              <w:tblLook w:val="04A0" w:firstRow="1" w:lastRow="0" w:firstColumn="1" w:lastColumn="0" w:noHBand="0" w:noVBand="1"/>
            </w:tblPr>
            <w:tblGrid>
              <w:gridCol w:w="1450"/>
              <w:gridCol w:w="1275"/>
              <w:gridCol w:w="1276"/>
              <w:gridCol w:w="1417"/>
              <w:gridCol w:w="1418"/>
              <w:gridCol w:w="709"/>
              <w:gridCol w:w="3118"/>
              <w:gridCol w:w="97"/>
              <w:gridCol w:w="754"/>
            </w:tblGrid>
            <w:tr w:rsidR="004C73DB" w:rsidRPr="004C73DB" w14:paraId="6CFF8412" w14:textId="77777777" w:rsidTr="004C73DB">
              <w:trPr>
                <w:gridAfter w:val="1"/>
                <w:wAfter w:w="754" w:type="dxa"/>
                <w:trHeight w:val="315"/>
              </w:trPr>
              <w:tc>
                <w:tcPr>
                  <w:tcW w:w="14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01740AE" w14:textId="77777777" w:rsidR="004C73DB" w:rsidRDefault="004C73DB" w:rsidP="004C73DB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  <w:lastRenderedPageBreak/>
                    <w:t>Корреспондирующий счет</w:t>
                  </w:r>
                </w:p>
                <w:p w14:paraId="6718FDC5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9310" w:type="dxa"/>
                  <w:gridSpan w:val="7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CC4F00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  <w:t>1 401 50 000</w:t>
                  </w:r>
                </w:p>
              </w:tc>
            </w:tr>
            <w:tr w:rsidR="004C73DB" w:rsidRPr="004C73DB" w14:paraId="71F67972" w14:textId="77777777" w:rsidTr="004C73DB">
              <w:trPr>
                <w:gridAfter w:val="2"/>
                <w:wAfter w:w="851" w:type="dxa"/>
                <w:trHeight w:val="315"/>
              </w:trPr>
              <w:tc>
                <w:tcPr>
                  <w:tcW w:w="14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7A94E9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6AF778C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  <w:t>Остаток на начало года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8A2BF2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  <w:t>Оборот по увеличению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3C4C6F3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  <w:t>Оборот по уменьшению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F10F833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  <w:t>Остаток на конец года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90E7E8A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  <w:t>код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C194EF1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  <w:t>Пояснение</w:t>
                  </w:r>
                </w:p>
              </w:tc>
            </w:tr>
            <w:tr w:rsidR="004C73DB" w:rsidRPr="004C73DB" w14:paraId="7A889022" w14:textId="77777777" w:rsidTr="004C73DB">
              <w:trPr>
                <w:trHeight w:val="330"/>
              </w:trPr>
              <w:tc>
                <w:tcPr>
                  <w:tcW w:w="14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79DFB09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B43C0C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705F8A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0E2067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1FDDF38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3692BFA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C8FE59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D25EB8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4C73DB" w:rsidRPr="004C73DB" w14:paraId="1E79B40A" w14:textId="77777777" w:rsidTr="004C73DB">
              <w:trPr>
                <w:trHeight w:val="315"/>
              </w:trPr>
              <w:tc>
                <w:tcPr>
                  <w:tcW w:w="14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0E59A4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91DAFF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78B2A20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0DBDE06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DE16233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810615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2D33F5F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33275C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C73DB" w:rsidRPr="004C73DB" w14:paraId="55AF44FF" w14:textId="77777777" w:rsidTr="004C73DB">
              <w:trPr>
                <w:trHeight w:val="300"/>
              </w:trPr>
              <w:tc>
                <w:tcPr>
                  <w:tcW w:w="14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DFC9F47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F7730C0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A95F3F1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5BC3540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053A3C7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3BEE6BA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DA65AD1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851" w:type="dxa"/>
                  <w:gridSpan w:val="2"/>
                  <w:vAlign w:val="center"/>
                  <w:hideMark/>
                </w:tcPr>
                <w:p w14:paraId="61F6D752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C73DB" w:rsidRPr="004C73DB" w14:paraId="44EBA8AE" w14:textId="77777777" w:rsidTr="004C73DB">
              <w:trPr>
                <w:trHeight w:val="870"/>
              </w:trPr>
              <w:tc>
                <w:tcPr>
                  <w:tcW w:w="14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FF6CD2B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  <w:t>Итого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7A29BEFD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  <w:t>13 708,39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2E90DDFB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  <w:t>172 052,00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06A0B995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  <w:t>59 464,01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5EFC42F9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  <w:t>126 296,38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0EA22CFE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A4BA47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vAlign w:val="center"/>
                  <w:hideMark/>
                </w:tcPr>
                <w:p w14:paraId="108B23DE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C73DB" w:rsidRPr="004C73DB" w14:paraId="37B7266B" w14:textId="77777777" w:rsidTr="004C73DB">
              <w:trPr>
                <w:trHeight w:val="900"/>
              </w:trPr>
              <w:tc>
                <w:tcPr>
                  <w:tcW w:w="14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FB2FB6C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color w:val="000000"/>
                      <w:sz w:val="22"/>
                    </w:rPr>
                    <w:t>1 401 50 222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30641A67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0B55B5CA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color w:val="000000"/>
                      <w:sz w:val="22"/>
                    </w:rPr>
                    <w:t>135 900,00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722BCE16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color w:val="000000"/>
                      <w:sz w:val="22"/>
                    </w:rPr>
                    <w:t>29 225,81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158E1BAE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color w:val="000000"/>
                      <w:sz w:val="22"/>
                    </w:rPr>
                    <w:t>106 674,19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07C89517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0C53A5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color w:val="000000"/>
                      <w:sz w:val="22"/>
                    </w:rPr>
                    <w:t>Начисление расходов будущих периодов по приобретению единых транспортных карт без лимита поездок на 365 дней для депутатов</w:t>
                  </w:r>
                </w:p>
              </w:tc>
              <w:tc>
                <w:tcPr>
                  <w:tcW w:w="851" w:type="dxa"/>
                  <w:gridSpan w:val="2"/>
                  <w:vAlign w:val="center"/>
                  <w:hideMark/>
                </w:tcPr>
                <w:p w14:paraId="34F1B4F0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C73DB" w:rsidRPr="004C73DB" w14:paraId="752FA063" w14:textId="77777777" w:rsidTr="004C73DB">
              <w:trPr>
                <w:trHeight w:val="600"/>
              </w:trPr>
              <w:tc>
                <w:tcPr>
                  <w:tcW w:w="14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499870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color w:val="000000"/>
                      <w:sz w:val="22"/>
                    </w:rPr>
                    <w:t>1 401 50 226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0A69B1B2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13D2A533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color w:val="000000"/>
                      <w:sz w:val="22"/>
                    </w:rPr>
                    <w:t>6 852,00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13185D76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color w:val="000000"/>
                      <w:sz w:val="22"/>
                    </w:rPr>
                    <w:t>780,37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28C639BB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color w:val="000000"/>
                      <w:sz w:val="22"/>
                    </w:rPr>
                    <w:t>6 071,63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57A187CF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AE3F7F9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color w:val="000000"/>
                      <w:sz w:val="22"/>
                    </w:rPr>
                    <w:t>Начисление расходов будущих периодов по продление лицензии антивирусной программы</w:t>
                  </w:r>
                </w:p>
              </w:tc>
              <w:tc>
                <w:tcPr>
                  <w:tcW w:w="851" w:type="dxa"/>
                  <w:gridSpan w:val="2"/>
                  <w:vAlign w:val="center"/>
                  <w:hideMark/>
                </w:tcPr>
                <w:p w14:paraId="46ACFB40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C73DB" w:rsidRPr="004C73DB" w14:paraId="6438B3A7" w14:textId="77777777" w:rsidTr="004C73DB">
              <w:trPr>
                <w:trHeight w:val="600"/>
              </w:trPr>
              <w:tc>
                <w:tcPr>
                  <w:tcW w:w="14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F28E383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color w:val="000000"/>
                      <w:sz w:val="22"/>
                    </w:rPr>
                    <w:t>1 401 50 227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1EACE1A6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color w:val="000000"/>
                      <w:sz w:val="22"/>
                    </w:rPr>
                    <w:t>13 708,39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69595499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color w:val="000000"/>
                      <w:sz w:val="22"/>
                    </w:rPr>
                    <w:t>29 300,00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230F73BC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color w:val="000000"/>
                      <w:sz w:val="22"/>
                    </w:rPr>
                    <w:t>29 457,83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22D7BA55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color w:val="000000"/>
                      <w:sz w:val="22"/>
                    </w:rPr>
                    <w:t>13 550,56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491409D9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0CAA1CD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000000"/>
                      <w:sz w:val="22"/>
                    </w:rPr>
                  </w:pPr>
                  <w:r w:rsidRPr="004C73DB">
                    <w:rPr>
                      <w:rFonts w:ascii="Times New Roman" w:hAnsi="Times New Roman"/>
                      <w:color w:val="000000"/>
                      <w:sz w:val="22"/>
                    </w:rPr>
                    <w:t>Начисление расходов будущих периодов по страховой премии на страхование имущества и муниципальных служащих.</w:t>
                  </w:r>
                </w:p>
              </w:tc>
              <w:tc>
                <w:tcPr>
                  <w:tcW w:w="851" w:type="dxa"/>
                  <w:gridSpan w:val="2"/>
                  <w:vAlign w:val="center"/>
                  <w:hideMark/>
                </w:tcPr>
                <w:p w14:paraId="18ADF264" w14:textId="77777777" w:rsidR="004C73DB" w:rsidRPr="004C73DB" w:rsidRDefault="004C73DB" w:rsidP="004C73DB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E50F8E3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17F3BFED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21342BA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0805850C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D169F37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67E7030E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Информация о пересмотре классификации сравнительной информации, раскрываемой в бухгалтерской (финансовой) отчетности за предыдущие отчетные периоды (о реклассификации показателей бухгалтерской отчетности), подлежащих публичному раскрытию: характер реклассификации; стоимостные показатели, подлежащие реклассификации; причины реклассификации; Информация о неосуществлении реклассификации показателей отчетности за предыдущий отчетный период: с указанием причины, по которой не производится реклассификация показателей отчетности; характер корректировок показателей бухгалтерской отчетности, которые были бы произведены в случае реклассификации</w:t>
            </w:r>
          </w:p>
          <w:p w14:paraId="246D1684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307B374C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6CDCE96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Реклассификация активов в 2025 году не производилась.</w:t>
            </w:r>
          </w:p>
        </w:tc>
      </w:tr>
      <w:tr w:rsidR="003A5FD9" w:rsidRPr="00C00649" w14:paraId="18CA19B3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2051A2E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1FDF11B4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C48AA58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2ABBB2EF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 xml:space="preserve">Информация по объектам нематериальных активов, раскрывающая суммы начисленной амортизации в течение отчетного </w:t>
            </w:r>
            <w:proofErr w:type="gramStart"/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периода,  суммы</w:t>
            </w:r>
            <w:proofErr w:type="gramEnd"/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 xml:space="preserve"> накопленной амортизации на отчетную дату</w:t>
            </w:r>
          </w:p>
          <w:p w14:paraId="7DCC40CE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43718D0F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BB6EB66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Информация отражена в Сведениях о движении нефинансовых активов (ф. 0503168)</w:t>
            </w:r>
          </w:p>
        </w:tc>
      </w:tr>
      <w:tr w:rsidR="003A5FD9" w:rsidRPr="00C00649" w14:paraId="28B03C63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63D4C97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1D183F08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C095B70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5E059760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 xml:space="preserve">Информация о доходах в разрезе групп, подгрупп в зависимости от экономического </w:t>
            </w: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lastRenderedPageBreak/>
              <w:t>содержания с обособлением сумм предоставленных льгот (скидок)</w:t>
            </w:r>
          </w:p>
          <w:p w14:paraId="178D26DA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4081F322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636D479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lastRenderedPageBreak/>
              <w:t>Информация отражена в Отчете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бюджета, Отчете о движении денежных средств.</w:t>
            </w:r>
          </w:p>
        </w:tc>
      </w:tr>
      <w:tr w:rsidR="003A5FD9" w:rsidRPr="00C00649" w14:paraId="7E781885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4593CA3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3AEA52F5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051A851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37B30AF6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proofErr w:type="gramStart"/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Информация  о</w:t>
            </w:r>
            <w:proofErr w:type="gramEnd"/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 xml:space="preserve"> доходах от подарков, пожертвований и других безвозмездно полученных ценностей, признанных в текущем отчетном периоде, и характер указанных ценностей, а также информация об основных видах безвозмездно полученных услуг (работ)</w:t>
            </w:r>
          </w:p>
          <w:p w14:paraId="6AB8498B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42D9E742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A7D4557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В 2025 году доходов от безвозмездно полученных ценностей не поступало.</w:t>
            </w:r>
          </w:p>
        </w:tc>
      </w:tr>
      <w:tr w:rsidR="003A5FD9" w:rsidRPr="00C00649" w14:paraId="0712D7A1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C89A1D9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02B14C12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8E6EE23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4E4AACD3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Информация о суммах: дебиторской задолженности, признанной по необменным операциям; изменений доходов будущих периодов по видам доходов; обязательств по авансовым поступлениям</w:t>
            </w:r>
          </w:p>
          <w:p w14:paraId="21D4FB16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6C6E03E8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6BFF02E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00649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Информация отражена в ф. 0503169 и приложении к Пояснительной записке «Анализ дебиторской (кредиторской) задолженности к ф. 0503169»</w:t>
            </w:r>
          </w:p>
        </w:tc>
      </w:tr>
      <w:tr w:rsidR="003A5FD9" w:rsidRPr="00C00649" w14:paraId="254C4DDE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398BB0A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00649" w14:paraId="45A39AEC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B541250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634F9101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00649">
              <w:rPr>
                <w:rFonts w:ascii="Times New Roman" w:hAnsi="Times New Roman"/>
                <w:b/>
                <w:szCs w:val="24"/>
                <w:lang w:eastAsia="en-US"/>
              </w:rPr>
              <w:t>Информация по каждому виду резерва: сумма на начало и конец отчетного периода; сумма изменений (увеличений, уменьшений) величины резерва в структуре оснований создания, использования, восстановления неиспользованных и излишне начисленных сумм резерва, приращения дисконтированной стоимости за отчетный период в связи с приближением срока исполнения обязательства, под которое был сформирован резерв, а также влияния любых изменений ставки дисконтирования</w:t>
            </w:r>
          </w:p>
          <w:p w14:paraId="7E7ABCA2" w14:textId="77777777" w:rsidR="003A5FD9" w:rsidRPr="00C00649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7F27C762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07B242E" w14:textId="77777777" w:rsidR="003A5FD9" w:rsidRPr="00BD06AF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Согласно п 4. Федерального стандарта №124н стандарт не применяется в отношении: обязательств по выплатам физическим лицам в связи с исполнением трудовых функций работниками, государственными и муниципальными служащими, резерва по сомнительным долгам, и иных резервов, формирование и ведение которых регулируются нормативными правовыми актами, регулирующими ведение бухгалтерского учета и составление бухгалтерской (финансовой) отчетности. </w:t>
            </w:r>
            <w:r w:rsidRPr="00BD06AF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Иные резервы отсутствуют.</w:t>
            </w:r>
          </w:p>
        </w:tc>
      </w:tr>
      <w:tr w:rsidR="003A5FD9" w:rsidRPr="00C00649" w14:paraId="3BC254F3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418F02A" w14:textId="77777777" w:rsidR="003A5FD9" w:rsidRPr="00BD06AF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E408E" w14:paraId="1497285F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941B204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5856FEB8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>Информация по каждому виду резерва: краткое описание оснований создания резерва и ожидаемые сроки его использования; указание на признаки неопределенности  в части момента предъявления требования об исполнении обязательства и (или) его размера; сумма ожидаемых возмещений по встречным требованиям или требованиям к другим лицам при исполнении соответствующего обязательства, признанных самостоятельным активом (с указанием наименования актива)</w:t>
            </w:r>
          </w:p>
          <w:p w14:paraId="1C76CCAF" w14:textId="77777777" w:rsidR="003A5FD9" w:rsidRPr="00CE408E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12C52762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5F49357" w14:textId="77777777" w:rsidR="003A5FD9" w:rsidRPr="00BD06AF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Согласно п 4. Федерального стандарта №124н стандарт не применяется в отношении: обязательств по выплатам физическим лицам в связи с исполнением трудовых функций работниками, государственными и муниципальными служащими, резерва по сомнительным долгам, и иных </w:t>
            </w: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lastRenderedPageBreak/>
              <w:t xml:space="preserve">резервов, формирование и ведение которых регулируются нормативными правовыми актами, регулирующими ведение бухгалтерского учета и составление бухгалтерской (финансовой) отчетности. </w:t>
            </w:r>
            <w:r w:rsidRPr="00BD06AF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Иные резервы отсутствуют.</w:t>
            </w:r>
          </w:p>
        </w:tc>
      </w:tr>
      <w:tr w:rsidR="003A5FD9" w:rsidRPr="00C00649" w14:paraId="6706958D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084859D" w14:textId="77777777" w:rsidR="003A5FD9" w:rsidRPr="00BD06AF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E408E" w14:paraId="50DEBC2B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2A420F0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6D903B13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>Информация по каждой группе непроизведенных активов, раскрывающая сумму балансовой стоимости, а также сумму накопленных убытков от обесценения непроизведенных активов на начало и на конец периода</w:t>
            </w:r>
          </w:p>
          <w:p w14:paraId="51374855" w14:textId="77777777" w:rsidR="003A5FD9" w:rsidRPr="00CE408E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E408E" w14:paraId="05741310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BE5AEEB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Информация отражена в Сведениях о движении нефинансовых активов (ф. 0503168)</w:t>
            </w:r>
          </w:p>
        </w:tc>
      </w:tr>
      <w:tr w:rsidR="003A5FD9" w:rsidRPr="00CE408E" w14:paraId="568D705F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10C0E4D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E408E" w14:paraId="14AD7105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B1CC288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695FA2F6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>Информация об объектах учета выплат персоналу: о сумме задолженности по текущим выплатам персоналу на начало и конец отчетного периода; о сумме резерва предстоящих расходов по выплатам персоналу (отложенных выплат персоналу) на начало и конец отчетного периода по каждому виду обязанностей по выплатам персоналу</w:t>
            </w:r>
          </w:p>
          <w:p w14:paraId="14FBA31E" w14:textId="77777777" w:rsidR="003A5FD9" w:rsidRPr="00CE408E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E408E" w14:paraId="07765A1A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CD58C5B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Резерв предстоящих расходов по выплатам персоналу (отложенных выплат персоналу) в отчетном периоде сложился: на начало года в общей сумме  771 123,57 рублей, из них по КА 211 - 621 949,83 рублей, КА 213 - 149 173,74  рублей, на конец года в общей сумме 876 078,36  рублей, из них по КА 211 – 694 878,29 рублей, КА 213 – 181 200,07 рублей.                                                                                                                                           Увеличение суммы сформированного резерва на оплату отпусков и по начислениям на выплаты по оплате труда, в связи с увеличением количества сотрудников с неиспользованными отпусками за фактически отработанное время и индексацией заработной платы с 01.01.2025г, а также начислением резерва предстоящих расходов на следующий финансовый год.</w:t>
            </w:r>
          </w:p>
        </w:tc>
      </w:tr>
      <w:tr w:rsidR="003A5FD9" w:rsidRPr="00CE408E" w14:paraId="4762C5B6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26B3F28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E408E" w14:paraId="3766992E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347AB56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5F84E260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 xml:space="preserve">Информация о сумме корректировок (увеличений, уменьшений) величины резерва предстоящих расходов по выплатам персоналу (отложенных выплат персоналу) по каждому виду отложенных выплат </w:t>
            </w:r>
            <w:proofErr w:type="gramStart"/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>персоналу  в</w:t>
            </w:r>
            <w:proofErr w:type="gramEnd"/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 xml:space="preserve"> структуре оснований: признание объектов учета отложенных выплат персоналу; признание объектов учета текущих выплат персоналу за счет сумм ранее признанного резерва; корректировка резерва в части избыточно начисленных сумм резерва</w:t>
            </w:r>
          </w:p>
          <w:p w14:paraId="07ED5871" w14:textId="77777777" w:rsidR="003A5FD9" w:rsidRPr="00CE408E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E408E" w14:paraId="423F19D7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60F410A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Корректировки резерва в части избыточно начисленных сумм резерва на оплату отпусков и по начислениям на выплаты на оплату труда в отчетном </w:t>
            </w:r>
            <w:proofErr w:type="gramStart"/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периоде  не</w:t>
            </w:r>
            <w:proofErr w:type="gramEnd"/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 производилось</w:t>
            </w:r>
          </w:p>
        </w:tc>
      </w:tr>
      <w:tr w:rsidR="003A5FD9" w:rsidRPr="00CE408E" w14:paraId="68588324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9CF14AA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E408E" w14:paraId="7BC0F5DE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6ABDD90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2A5F9CDA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>Раскрытие информации субъектом консолидированной отчетности о сверке следующих показателей: итоговых (консолидированных) величин доходов и расходов всех сегментов с итоговыми (консолидированными) величинами доходов и расходов, отраженными в годовом консолидированном Отчете о финансовых результатах; итоговых (консолидированных) величин активов и обязательств всех сегментов с итоговыми (консолидированными) величинами активов и обязательств, отраженными в годовом консолидированном бухгалтерском балансе</w:t>
            </w:r>
          </w:p>
          <w:p w14:paraId="3111323C" w14:textId="77777777" w:rsidR="003A5FD9" w:rsidRPr="00CE408E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E408E" w14:paraId="45023C18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4A55031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Сведения о показателях по сегментам отражены в формах бухгалтерской отчетности по состоянию на 01.01.2026, в том числе в Сведениях по дебиторской и кредиторской задолженности (ф. 0503169)</w:t>
            </w:r>
          </w:p>
        </w:tc>
      </w:tr>
      <w:tr w:rsidR="003A5FD9" w:rsidRPr="00CE408E" w14:paraId="7C118EBA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1C84BD3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E408E" w14:paraId="214C8C28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89D74CD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5B96B75C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>Информация по каждой группе биологических активов: сумма балансовой стоимости на начало и на конец периода; сумма накопленных убытков от обесценения биологических активов на начало и на конец периода</w:t>
            </w:r>
          </w:p>
          <w:p w14:paraId="40052AED" w14:textId="77777777" w:rsidR="003A5FD9" w:rsidRPr="00CE408E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E408E" w14:paraId="58851D2D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0A9AE01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Информация отражена в Сведениях о движении нефинансовых активов (ф. 0503168)</w:t>
            </w:r>
          </w:p>
        </w:tc>
      </w:tr>
      <w:tr w:rsidR="003A5FD9" w:rsidRPr="00CE408E" w14:paraId="445E5838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5BD25C3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E408E" w14:paraId="10D3BF9C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26B46E4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188B7DE9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>Информация, раскрываемая в соответствии с положениями федерального стандарта бухгалтерского учета "Бухгалтерская (финансовая) отчетность с учетом инфляции, в том числе инфляционные коэффициенты пересчета, которые используются для расчета корректировок данных бухгалтерского учета (показателей бухгалтерской отчетности)</w:t>
            </w:r>
          </w:p>
          <w:p w14:paraId="3A6A0878" w14:textId="77777777" w:rsidR="003A5FD9" w:rsidRPr="00CE408E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E408E" w14:paraId="5DBA3ADB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66A793F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Критерии формирования бухгалтерской отчетности с учетом инфляции, а также инфляционные коэффициенты пересчета Министерством финансов Российской Федерации не установлены. Пересчет данных бухгалтерского учета (показателей бухгалтерской отчетности) на отчетную дату не осуществлялся ввиду отсутствия нормативных оснований</w:t>
            </w:r>
          </w:p>
        </w:tc>
      </w:tr>
      <w:tr w:rsidR="003A5FD9" w:rsidRPr="00CE408E" w14:paraId="1C020506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C70BCA6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E408E" w14:paraId="3A27975F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4876D0E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2A6F7C91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>Информация о сумме балансовой стоимости, а также сумме накопленной амортизации по каждой группе нефинансовых активов имущества казны (на основании ф. 0503168)</w:t>
            </w:r>
          </w:p>
          <w:p w14:paraId="120A8F49" w14:textId="77777777" w:rsidR="003A5FD9" w:rsidRPr="00CE408E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E408E" w14:paraId="04056F8C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BE6E5AA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Информация отражена в Сведениях о движении нефинансовых активов (ф. 0503168)</w:t>
            </w:r>
          </w:p>
        </w:tc>
      </w:tr>
      <w:tr w:rsidR="003A5FD9" w:rsidRPr="00CE408E" w14:paraId="70EB62B9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F94F798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E408E" w14:paraId="3015C9AD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137519D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1242B800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>Информация о сверке остаточной стоимости на начало и на конец отчетного периода по каждой группе нефинансовых активов имущества казны раскрывающая: сумму стоимости поступивших объектов нефинансовых активов имущества казны с отдельным раскрытием сумм поступлений в результате приобретения (создания) объектов нефинансовых активов имущества казны, получения объектов от собственника (учредителя), иной организации бюджетной сферы, в результате увеличений балансовой стоимости нефинансовых активов имущества казны, в результате реклассификации; сумму стоимости выбывших объектов нефинансовых активов имущества казны с отдельным раскрытием сумм выбытий в результате передачи объектов имущества, учитываемых в составе нефинансовых активов имущества казны, собственнику (учредителю), иной организации бюджетной сферы, а также в результате реклассификации; суммы начисленной амортизации по объектам нефинансовых активов имущества казны, для которых Стандарт предусматривает начисление амортизации, суммы накопленной амортизации на отчетную дату; первоначальную стоимость, балансовую стоимость и переоцененную стоимость объектов нефинансовых активов имущества казны, отчуждаемых не в пользу организаций бюджетной сферы; прочие изменения стоимости объектов нефинансовых активов имущества казны  (на основании ф. 0503168)</w:t>
            </w:r>
          </w:p>
          <w:p w14:paraId="249981D0" w14:textId="77777777" w:rsidR="003A5FD9" w:rsidRPr="00CE408E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E408E" w14:paraId="063DDAD4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EE6C5C4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На конец 2025 года остатки по счетам имущества казны отсутствуют.</w:t>
            </w:r>
          </w:p>
        </w:tc>
      </w:tr>
      <w:tr w:rsidR="003A5FD9" w:rsidRPr="00CE408E" w14:paraId="4D53F605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E00BCB4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E408E" w14:paraId="69E3D5EA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911F33D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30AD2156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 xml:space="preserve">Иная информация, характеризующая показатели бухгалтерской отчетности субъекта </w:t>
            </w:r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lastRenderedPageBreak/>
              <w:t>бюджетной отчетности, не нашедшая отражения в таблицах и приложениях</w:t>
            </w:r>
          </w:p>
          <w:p w14:paraId="7CE4A03A" w14:textId="77777777" w:rsidR="003A5FD9" w:rsidRPr="00CE408E" w:rsidRDefault="003A5FD9" w:rsidP="00C00649">
            <w:pPr>
              <w:ind w:right="35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E408E" w14:paraId="45ED2661" w14:textId="77777777" w:rsidTr="00C00649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4927428" w14:textId="77777777" w:rsidR="003A5FD9" w:rsidRPr="004F5D84" w:rsidRDefault="003A5FD9" w:rsidP="00C00649">
            <w:pPr>
              <w:ind w:right="35"/>
              <w:jc w:val="both"/>
              <w:rPr>
                <w:rFonts w:ascii="Times New Roman" w:hAnsi="Times New Roman" w:cs="Calibri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lastRenderedPageBreak/>
              <w:t xml:space="preserve">Годовая инвентаризация проведена перед составлением годовой бухгалтерской отчетности в соответствии с распоряжением "О проведении инвентаризации имущества, финансовых активов и обязательств аппарата Совета депутатов внутригородского муниципального образования - муниципального округа Даниловский в городе Москве" от 27.11.2025 года №02-01-05-13. </w:t>
            </w:r>
            <w:r w:rsidRPr="004F5D84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Излишки и недостачи материальных ценностей не выявлены.</w:t>
            </w:r>
          </w:p>
          <w:p w14:paraId="617F0FED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В отчетном периоде произведена выверка расчетов по платежам в бюджеты по состоянию на 01 января 2026 года с Федеральной налоговой службой. Дебиторская и кредиторская задолженность на 01.01.2026 года по платежам в бюджет отсутствует.</w:t>
            </w:r>
          </w:p>
          <w:p w14:paraId="6292D86D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color w:val="000000"/>
                <w:szCs w:val="24"/>
                <w:lang w:eastAsia="en-US"/>
              </w:rPr>
            </w:pPr>
          </w:p>
          <w:p w14:paraId="3685CBED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Иная информация, необходимая для отражения в Разделе 4, отсутствует.</w:t>
            </w:r>
          </w:p>
        </w:tc>
      </w:tr>
      <w:tr w:rsidR="003A5FD9" w:rsidRPr="00CE408E" w14:paraId="59159389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5E62491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E408E" w14:paraId="76B77F20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BC9C5D6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</w:tbl>
    <w:p w14:paraId="7894ED67" w14:textId="77777777" w:rsidR="003A5FD9" w:rsidRPr="00CE408E" w:rsidRDefault="003A5FD9">
      <w:pPr>
        <w:jc w:val="both"/>
        <w:rPr>
          <w:rFonts w:ascii="Times New Roman CYR" w:hAnsi="Times New Roman CYR" w:cs="Calibri"/>
          <w:color w:val="004DBB"/>
          <w:sz w:val="22"/>
          <w:szCs w:val="24"/>
          <w:lang w:eastAsia="en-US"/>
        </w:rPr>
      </w:pPr>
    </w:p>
    <w:p w14:paraId="04646F26" w14:textId="77777777" w:rsidR="003A5FD9" w:rsidRPr="00CE408E" w:rsidRDefault="003A5FD9">
      <w:pPr>
        <w:jc w:val="both"/>
        <w:rPr>
          <w:rFonts w:ascii="Times New Roman CYR" w:hAnsi="Times New Roman CYR" w:cs="Times New Roman CYR"/>
          <w:color w:val="004DBB"/>
          <w:sz w:val="22"/>
          <w:szCs w:val="24"/>
          <w:lang w:eastAsia="en-US"/>
        </w:rPr>
      </w:pPr>
    </w:p>
    <w:p w14:paraId="1C08B97B" w14:textId="77777777" w:rsidR="003A5FD9" w:rsidRPr="00CE408E" w:rsidRDefault="003A5FD9">
      <w:pPr>
        <w:jc w:val="both"/>
        <w:rPr>
          <w:rFonts w:ascii="Times New Roman CYR" w:hAnsi="Times New Roman CYR" w:cs="Times New Roman CYR"/>
          <w:color w:val="004DBB"/>
          <w:sz w:val="22"/>
          <w:szCs w:val="24"/>
          <w:lang w:eastAsia="en-US"/>
        </w:rPr>
      </w:pPr>
    </w:p>
    <w:p w14:paraId="15C071C3" w14:textId="77777777" w:rsidR="003A5FD9" w:rsidRDefault="003A5FD9">
      <w:pPr>
        <w:jc w:val="center"/>
        <w:rPr>
          <w:rFonts w:ascii="Times New Roman" w:hAnsi="Times New Roman" w:cs="Calibri"/>
          <w:sz w:val="28"/>
          <w:szCs w:val="24"/>
        </w:rPr>
      </w:pPr>
      <w:r>
        <w:rPr>
          <w:rFonts w:ascii="Times New Roman" w:hAnsi="Times New Roman" w:cs="Calibri"/>
          <w:b/>
          <w:color w:val="000000"/>
          <w:sz w:val="28"/>
          <w:szCs w:val="24"/>
        </w:rPr>
        <w:t>Раздел 5 «Прочие вопросы деятельности субъекта бюджетной отчетности»</w:t>
      </w:r>
      <w:r>
        <w:rPr>
          <w:rFonts w:ascii="Times New Roman" w:hAnsi="Times New Roman"/>
          <w:sz w:val="28"/>
          <w:szCs w:val="24"/>
        </w:rPr>
        <w:t xml:space="preserve"> </w:t>
      </w:r>
    </w:p>
    <w:tbl>
      <w:tblPr>
        <w:tblW w:w="5405" w:type="pct"/>
        <w:tblLayout w:type="fixed"/>
        <w:tblLook w:val="04A0" w:firstRow="1" w:lastRow="0" w:firstColumn="1" w:lastColumn="0" w:noHBand="0" w:noVBand="1"/>
      </w:tblPr>
      <w:tblGrid>
        <w:gridCol w:w="10507"/>
      </w:tblGrid>
      <w:tr w:rsidR="003A5FD9" w:rsidRPr="00CE408E" w14:paraId="48179E2A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2D903A9" w14:textId="77777777" w:rsidR="003A5FD9" w:rsidRPr="00CE408E" w:rsidRDefault="003A5FD9" w:rsidP="00C00649">
            <w:pPr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2A6E1841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>Информация, указывающая на то, что представленные показатели бухгалтерской (финансовой) отчетности сформированы исходя из нормативных правовых актов, регулирующих ведение бухгалтерского учета и составление бухгалтерской (финансовой) отчетности</w:t>
            </w:r>
          </w:p>
          <w:p w14:paraId="5CA52F62" w14:textId="77777777" w:rsidR="003A5FD9" w:rsidRPr="00CE408E" w:rsidRDefault="003A5FD9" w:rsidP="00C00649">
            <w:pPr>
              <w:ind w:right="-142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E408E" w14:paraId="34805215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D1B89BF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Показатели бухгалтерской (финансовой) отчетности сформированы исходя из нормативных правовых актов, регулирующих ведение бухгалтерского учета и составление бухгалтерской (финансовой) отчетности</w:t>
            </w:r>
          </w:p>
        </w:tc>
      </w:tr>
      <w:tr w:rsidR="003A5FD9" w:rsidRPr="00CE408E" w14:paraId="729FD770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9D9C679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E408E" w14:paraId="61CE6E9A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918C877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46CF62E8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 xml:space="preserve">Информация о событиях, произошедших в период между отчетной датой и датой утверждения бухгалтерской </w:t>
            </w:r>
            <w:proofErr w:type="gramStart"/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>отчетности  по</w:t>
            </w:r>
            <w:proofErr w:type="gramEnd"/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 xml:space="preserve"> долговым обязательствам, классифицированным как краткосрочные: рефинансирование на долгосрочный период; устранение нарушения соглашения о долгосрочном финансировании; получение от кредитора отсрочки исполнения обязательств на период, оканчивающийся не ранее чем через 12 месяцев после отчетной даты</w:t>
            </w:r>
          </w:p>
          <w:p w14:paraId="1D124ADB" w14:textId="77777777" w:rsidR="003A5FD9" w:rsidRPr="00CE408E" w:rsidRDefault="003A5FD9" w:rsidP="00C00649">
            <w:pPr>
              <w:ind w:right="-142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E408E" w14:paraId="1173DEE6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775E8E1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Информация о событиях, произошедших в период между отчетной датой и датой утверждения бухгалтерской отчетности по долговым обязательствам на отчетный период отсутствует.</w:t>
            </w:r>
          </w:p>
        </w:tc>
      </w:tr>
      <w:tr w:rsidR="003A5FD9" w:rsidRPr="00CE408E" w14:paraId="60600450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53AEB42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E408E" w14:paraId="1D90D2AB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E9259E3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2F8F37BA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>Информация о просроченной кредиторской задолженности, отраженная в аналитической таблице к ф. 0503387 «Справочная таблица к отчету об исполнении консолидированного бюджета субъекта Российской Федерации»</w:t>
            </w:r>
          </w:p>
          <w:p w14:paraId="2459A161" w14:textId="77777777" w:rsidR="003A5FD9" w:rsidRPr="00CE408E" w:rsidRDefault="003A5FD9" w:rsidP="00C00649">
            <w:pPr>
              <w:ind w:right="-142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E408E" w14:paraId="79B33625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7EEA816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Информация представлена в разделе 1 "Анализ просроченной кредиторской задолженности" Аналитической таблицы к ф.0503387 «Справочная таблица к отчету об исполнении консолидированного бюджета субъекта Российской Федерации»</w:t>
            </w:r>
          </w:p>
        </w:tc>
      </w:tr>
      <w:tr w:rsidR="003A5FD9" w:rsidRPr="00CE408E" w14:paraId="57CCB40D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B3127B1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E408E" w14:paraId="17250AD7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3242F36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7E34184F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lastRenderedPageBreak/>
              <w:t xml:space="preserve">Иная информация, отраженная в ф. 0503387 «Справочная таблица к отчету об исполнении консолидированного бюджета субъекта Российской </w:t>
            </w:r>
            <w:proofErr w:type="gramStart"/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>Федерации»  и</w:t>
            </w:r>
            <w:proofErr w:type="gramEnd"/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 xml:space="preserve"> требующая пояснения</w:t>
            </w:r>
          </w:p>
          <w:p w14:paraId="2F958BE8" w14:textId="77777777" w:rsidR="003A5FD9" w:rsidRPr="00CE408E" w:rsidRDefault="003A5FD9" w:rsidP="00C00649">
            <w:pPr>
              <w:ind w:right="-142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E408E" w14:paraId="227C5FE5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31D9F7E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lastRenderedPageBreak/>
              <w:t>Иная информация, требующая пояснений, отсутствует.</w:t>
            </w:r>
          </w:p>
        </w:tc>
      </w:tr>
      <w:tr w:rsidR="003A5FD9" w:rsidRPr="00CE408E" w14:paraId="3E6B5EFA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87793BC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E408E" w14:paraId="68127C88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82761D4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59E0E705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 xml:space="preserve">Иная </w:t>
            </w:r>
            <w:proofErr w:type="gramStart"/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>информация  о</w:t>
            </w:r>
            <w:proofErr w:type="gramEnd"/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 xml:space="preserve">  межбюджетных трансфертах за отчетный период, не нашедшая отражения в формах отчетов, таблицах и приложениях</w:t>
            </w:r>
          </w:p>
          <w:p w14:paraId="240B7EF7" w14:textId="77777777" w:rsidR="003A5FD9" w:rsidRPr="00CE408E" w:rsidRDefault="003A5FD9" w:rsidP="00C00649">
            <w:pPr>
              <w:ind w:right="-142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00649" w14:paraId="054547A6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8404D17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1. В соответствии с Соглашением от 18 января 2016 года № 395 с Департаментом труда и социальной защиты населения города Москвы «О предоставлении иного межбюджетного трансферта на цели осуществления доплат к пенсиям лицам, проходившим муниципальную службу в г. Москве» на 2025 год в бюджете ВМО Даниловский были утверждены плановые назначения в сумме  774 000,00 рублей. В связи с изменением с 01.01.2025 порядка расчета ежемесячной доплаты к пенсии муниципальным служащим города Москвы, а также увеличением в централизованном порядке денежного вознаграждения лиц, замещающих муниципальные должности в городе Москве, и должностных окладов муниципальных служащих города Москвы на основании письма </w:t>
            </w:r>
            <w:proofErr w:type="spellStart"/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ДТиСЗН</w:t>
            </w:r>
            <w:proofErr w:type="spellEnd"/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 от 20 марта 2025 года № 01-22-6219/25, в апреле в бюджетную роспись внесено изменение бюджетных назначений в сторону увеличения  на сумму 950 000,00 рублей,  на основании письма </w:t>
            </w:r>
            <w:proofErr w:type="spellStart"/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ДТиСЗН</w:t>
            </w:r>
            <w:proofErr w:type="spellEnd"/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 от 27 мая 2025 года № 01-13-23307/25, в мае в бюджетную роспись внесено изменение бюджетных назначений в сторону увеличения  на сумму 75 000,00 рублей, на конец отчетного периода плановые назначения составили 1 799 000,00 рублей.</w:t>
            </w:r>
          </w:p>
          <w:p w14:paraId="45DA4379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 w:cs="Calibri"/>
                <w:color w:val="000000"/>
                <w:szCs w:val="24"/>
                <w:lang w:val="en-US"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2. В соответствии с Соглашением от 4 февраля 2025 года № МБТ-32-02-02-04-6/25  с Департаментом финансов города Москвы "О предоставлении межбюджетного трансферта из бюджета города Москвы в целях повышения эффективности осуществления Советом депутатов внутригородского муниципального образования полномочий города Москвы" на  2025 год в бюджете ВМО Даниловский -  утверждены плановые назначения на сумму  2 880 000,00 рублей. </w:t>
            </w:r>
            <w:proofErr w:type="spellStart"/>
            <w:r w:rsidRPr="00C00649">
              <w:rPr>
                <w:rFonts w:ascii="Times New Roman" w:hAnsi="Times New Roman" w:cs="Calibri"/>
                <w:color w:val="000000"/>
                <w:szCs w:val="24"/>
                <w:lang w:val="en-US" w:eastAsia="en-US"/>
              </w:rPr>
              <w:t>На</w:t>
            </w:r>
            <w:proofErr w:type="spellEnd"/>
            <w:r w:rsidRPr="00C00649">
              <w:rPr>
                <w:rFonts w:ascii="Times New Roman" w:hAnsi="Times New Roman" w:cs="Calibri"/>
                <w:color w:val="000000"/>
                <w:szCs w:val="24"/>
                <w:lang w:val="en-US" w:eastAsia="en-US"/>
              </w:rPr>
              <w:t xml:space="preserve"> </w:t>
            </w:r>
            <w:proofErr w:type="spellStart"/>
            <w:r w:rsidRPr="00C00649">
              <w:rPr>
                <w:rFonts w:ascii="Times New Roman" w:hAnsi="Times New Roman" w:cs="Calibri"/>
                <w:color w:val="000000"/>
                <w:szCs w:val="24"/>
                <w:lang w:val="en-US" w:eastAsia="en-US"/>
              </w:rPr>
              <w:t>конец</w:t>
            </w:r>
            <w:proofErr w:type="spellEnd"/>
            <w:r w:rsidRPr="00C00649">
              <w:rPr>
                <w:rFonts w:ascii="Times New Roman" w:hAnsi="Times New Roman" w:cs="Calibri"/>
                <w:color w:val="000000"/>
                <w:szCs w:val="24"/>
                <w:lang w:val="en-US" w:eastAsia="en-US"/>
              </w:rPr>
              <w:t xml:space="preserve"> </w:t>
            </w:r>
            <w:proofErr w:type="spellStart"/>
            <w:r w:rsidRPr="00C00649">
              <w:rPr>
                <w:rFonts w:ascii="Times New Roman" w:hAnsi="Times New Roman" w:cs="Calibri"/>
                <w:color w:val="000000"/>
                <w:szCs w:val="24"/>
                <w:lang w:val="en-US" w:eastAsia="en-US"/>
              </w:rPr>
              <w:t>отчетного</w:t>
            </w:r>
            <w:proofErr w:type="spellEnd"/>
            <w:r w:rsidRPr="00C00649">
              <w:rPr>
                <w:rFonts w:ascii="Times New Roman" w:hAnsi="Times New Roman" w:cs="Calibri"/>
                <w:color w:val="000000"/>
                <w:szCs w:val="24"/>
                <w:lang w:val="en-US" w:eastAsia="en-US"/>
              </w:rPr>
              <w:t xml:space="preserve"> </w:t>
            </w:r>
            <w:proofErr w:type="spellStart"/>
            <w:r w:rsidRPr="00C00649">
              <w:rPr>
                <w:rFonts w:ascii="Times New Roman" w:hAnsi="Times New Roman" w:cs="Calibri"/>
                <w:color w:val="000000"/>
                <w:szCs w:val="24"/>
                <w:lang w:val="en-US" w:eastAsia="en-US"/>
              </w:rPr>
              <w:t>периода</w:t>
            </w:r>
            <w:proofErr w:type="spellEnd"/>
            <w:r w:rsidRPr="00C00649">
              <w:rPr>
                <w:rFonts w:ascii="Times New Roman" w:hAnsi="Times New Roman" w:cs="Calibri"/>
                <w:color w:val="000000"/>
                <w:szCs w:val="24"/>
                <w:lang w:val="en-US" w:eastAsia="en-US"/>
              </w:rPr>
              <w:t xml:space="preserve"> </w:t>
            </w:r>
            <w:proofErr w:type="spellStart"/>
            <w:r w:rsidRPr="00C00649">
              <w:rPr>
                <w:rFonts w:ascii="Times New Roman" w:hAnsi="Times New Roman" w:cs="Calibri"/>
                <w:color w:val="000000"/>
                <w:szCs w:val="24"/>
                <w:lang w:val="en-US" w:eastAsia="en-US"/>
              </w:rPr>
              <w:t>изменений</w:t>
            </w:r>
            <w:proofErr w:type="spellEnd"/>
            <w:r w:rsidRPr="00C00649">
              <w:rPr>
                <w:rFonts w:ascii="Times New Roman" w:hAnsi="Times New Roman" w:cs="Calibri"/>
                <w:color w:val="000000"/>
                <w:szCs w:val="24"/>
                <w:lang w:val="en-US" w:eastAsia="en-US"/>
              </w:rPr>
              <w:t xml:space="preserve"> </w:t>
            </w:r>
            <w:proofErr w:type="spellStart"/>
            <w:r w:rsidRPr="00C00649">
              <w:rPr>
                <w:rFonts w:ascii="Times New Roman" w:hAnsi="Times New Roman" w:cs="Calibri"/>
                <w:color w:val="000000"/>
                <w:szCs w:val="24"/>
                <w:lang w:val="en-US" w:eastAsia="en-US"/>
              </w:rPr>
              <w:t>соглашения</w:t>
            </w:r>
            <w:proofErr w:type="spellEnd"/>
            <w:r w:rsidRPr="00C00649">
              <w:rPr>
                <w:rFonts w:ascii="Times New Roman" w:hAnsi="Times New Roman" w:cs="Calibri"/>
                <w:color w:val="000000"/>
                <w:szCs w:val="24"/>
                <w:lang w:val="en-US" w:eastAsia="en-US"/>
              </w:rPr>
              <w:t xml:space="preserve"> </w:t>
            </w:r>
            <w:proofErr w:type="spellStart"/>
            <w:r w:rsidRPr="00C00649">
              <w:rPr>
                <w:rFonts w:ascii="Times New Roman" w:hAnsi="Times New Roman" w:cs="Calibri"/>
                <w:color w:val="000000"/>
                <w:szCs w:val="24"/>
                <w:lang w:val="en-US" w:eastAsia="en-US"/>
              </w:rPr>
              <w:t>не</w:t>
            </w:r>
            <w:proofErr w:type="spellEnd"/>
            <w:r w:rsidRPr="00C00649">
              <w:rPr>
                <w:rFonts w:ascii="Times New Roman" w:hAnsi="Times New Roman" w:cs="Calibri"/>
                <w:color w:val="000000"/>
                <w:szCs w:val="24"/>
                <w:lang w:val="en-US" w:eastAsia="en-US"/>
              </w:rPr>
              <w:t xml:space="preserve"> </w:t>
            </w:r>
            <w:proofErr w:type="spellStart"/>
            <w:r w:rsidRPr="00C00649">
              <w:rPr>
                <w:rFonts w:ascii="Times New Roman" w:hAnsi="Times New Roman" w:cs="Calibri"/>
                <w:color w:val="000000"/>
                <w:szCs w:val="24"/>
                <w:lang w:val="en-US" w:eastAsia="en-US"/>
              </w:rPr>
              <w:t>было</w:t>
            </w:r>
            <w:proofErr w:type="spellEnd"/>
            <w:r w:rsidRPr="00C00649">
              <w:rPr>
                <w:rFonts w:ascii="Times New Roman" w:hAnsi="Times New Roman" w:cs="Calibri"/>
                <w:color w:val="000000"/>
                <w:szCs w:val="24"/>
                <w:lang w:val="en-US" w:eastAsia="en-US"/>
              </w:rPr>
              <w:t>.</w:t>
            </w:r>
          </w:p>
          <w:p w14:paraId="615B43CF" w14:textId="77777777" w:rsidR="003A5FD9" w:rsidRPr="00C0064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val="en-US" w:eastAsia="en-US"/>
              </w:rPr>
            </w:pPr>
          </w:p>
        </w:tc>
      </w:tr>
      <w:tr w:rsidR="003A5FD9" w:rsidRPr="00C00649" w14:paraId="502A9108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DDA70EA" w14:textId="77777777" w:rsidR="003A5FD9" w:rsidRPr="00C00649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3A5FD9" w:rsidRPr="00CE408E" w14:paraId="72BBD384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C0AB973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12792694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>Информация о вносимых изменениях в показатели ранее представленной бухгалтерской отчётности по решению уполномоченного органа  в период после отчетной даты  и до даты утверждения отчетности на основании выявленных ошибок и существенных событий после отчетной даты (с указанием причин внесения исправлений и их содержания) по ошибкам отчетного периода, выявленным в ходе камеральной проверки отчетности, а также в ходе осуществления внутреннего (внешнего) финансового контроля (аудита)</w:t>
            </w:r>
          </w:p>
          <w:p w14:paraId="4CC9BF47" w14:textId="77777777" w:rsidR="003A5FD9" w:rsidRPr="00CE408E" w:rsidRDefault="003A5FD9" w:rsidP="00C00649">
            <w:pPr>
              <w:ind w:right="-142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E408E" w14:paraId="00EB2348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AAE6F28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В </w:t>
            </w:r>
            <w:proofErr w:type="gramStart"/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течение  2025</w:t>
            </w:r>
            <w:proofErr w:type="gramEnd"/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 года изменения в показатели бухгалтерской отчетности не вносились.</w:t>
            </w:r>
          </w:p>
        </w:tc>
      </w:tr>
      <w:tr w:rsidR="003A5FD9" w:rsidRPr="00CE408E" w14:paraId="5EAB1146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7B53B26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E408E" w14:paraId="1E3D52DE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3C28205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3802E09E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>Перечень событий после отчетной даты, подтверждающих условия хозяйственной деятельности субъекта отчетности, на основании которых сформированы показатели бухгалтерской отчетности</w:t>
            </w:r>
          </w:p>
          <w:p w14:paraId="616FEF54" w14:textId="77777777" w:rsidR="003A5FD9" w:rsidRPr="00CE408E" w:rsidRDefault="003A5FD9" w:rsidP="00C00649">
            <w:pPr>
              <w:ind w:right="-142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E408E" w14:paraId="017D3DB2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1A0D0F6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События после отчетной даты отсутствуют.</w:t>
            </w:r>
          </w:p>
        </w:tc>
      </w:tr>
      <w:tr w:rsidR="003A5FD9" w:rsidRPr="00CE408E" w14:paraId="73600E5F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CB47E5A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E408E" w14:paraId="1B507BC3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7144959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704EB877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lastRenderedPageBreak/>
              <w:t>Перечень и характеристика событий после отчетной даты, указывающих на условия деятельности субъекта отчетности, и оценка последствий их наступления в денежном выражении (либо причины невозможности оценки события)</w:t>
            </w:r>
          </w:p>
          <w:p w14:paraId="1707A4F8" w14:textId="77777777" w:rsidR="003A5FD9" w:rsidRPr="00CE408E" w:rsidRDefault="003A5FD9" w:rsidP="00C00649">
            <w:pPr>
              <w:ind w:right="-142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E408E" w14:paraId="572CC3A3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9A8AE1F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lastRenderedPageBreak/>
              <w:t>События после отчетной даты отсутствуют.</w:t>
            </w:r>
          </w:p>
        </w:tc>
      </w:tr>
      <w:tr w:rsidR="003A5FD9" w:rsidRPr="00CE408E" w14:paraId="7B680EF2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B5A1F1A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E408E" w14:paraId="4D3E22B2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2124655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722124C9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>Описание события после отчетной даты (в том числе выявленных ошибок) и его оценка в денежном выражении в случае, если для соблюдения сроков представления бухгалтерской отчетности и (или) в связи с поздним поступлением в пределах срока формирования и представления бухгалтерской отчетности первичных учетных документов информация о событии после отчетной даты не отражается в бухгалтерском учете и (или) не используется при формировании показателей бухгалтерской  отчетности</w:t>
            </w:r>
          </w:p>
          <w:p w14:paraId="7C8D2129" w14:textId="77777777" w:rsidR="003A5FD9" w:rsidRPr="00CE408E" w:rsidRDefault="003A5FD9" w:rsidP="00C00649">
            <w:pPr>
              <w:ind w:right="-142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E408E" w14:paraId="3AA6F680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3C5E9CB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События после отчетной даты отсутствуют.</w:t>
            </w:r>
          </w:p>
        </w:tc>
      </w:tr>
      <w:tr w:rsidR="003A5FD9" w:rsidRPr="00CE408E" w14:paraId="0FB93F44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24B599A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E408E" w14:paraId="5E8B2987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0BCD0C5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76A1F0D3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>Описание  события после отчетной даты (в том числе выявленных ошибок) и его оценка в денежном выражении в случае, если в период между датой подписания бухгалтерской  отчетности и датой ее принятия (утверждения) получена новая информация о событии после отчетной даты и (или) произошло (выявлено) событие, которое в ближайшем будущем окажет существенное влияние на финансовое положение, финансовый результат и (или) движение денежных средств субъекта отчетности, при этом  не отражается в бухгалтерском учете и (или) не используется при формировании показателей бухгалтерской отчетности</w:t>
            </w:r>
          </w:p>
          <w:p w14:paraId="3DA0D7FF" w14:textId="77777777" w:rsidR="003A5FD9" w:rsidRPr="00CE408E" w:rsidRDefault="003A5FD9" w:rsidP="00C00649">
            <w:pPr>
              <w:ind w:right="-142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E408E" w14:paraId="6F120081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BC4FC5B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События после отчетной даты отсутствуют.</w:t>
            </w:r>
          </w:p>
        </w:tc>
      </w:tr>
      <w:tr w:rsidR="003A5FD9" w:rsidRPr="00CE408E" w14:paraId="3E5B03DB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0AA3FB7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E408E" w14:paraId="477C6425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4AFC120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2590B6ED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>Перечень форм отчетности, не включенных в состав бюджетной отчетности за отчетный период ввиду отсутствия числовых значений показателей</w:t>
            </w:r>
          </w:p>
          <w:p w14:paraId="3BC674D2" w14:textId="77777777" w:rsidR="003A5FD9" w:rsidRPr="00CE408E" w:rsidRDefault="003A5FD9" w:rsidP="00C00649">
            <w:pPr>
              <w:ind w:right="-142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E408E" w14:paraId="1A67EF92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A1AC0B4" w14:textId="77777777" w:rsidR="00075C19" w:rsidRPr="00075C19" w:rsidRDefault="00075C19" w:rsidP="00075C19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C19">
              <w:rPr>
                <w:rFonts w:ascii="Times New Roman" w:hAnsi="Times New Roman"/>
                <w:sz w:val="28"/>
                <w:szCs w:val="28"/>
              </w:rPr>
              <w:t>- ф.0503166, ф.0503167, ф.0503168 по имуществу, составляющему муниципальную казну, ф.0503171, ф.0503172, ф.0503173, ф.0503174, ф.0503178 по бюджетной деятельности, ф.0503184, ф.0503190, ф.0503230, ф.0503296.</w:t>
            </w:r>
          </w:p>
          <w:p w14:paraId="3F5F6406" w14:textId="77777777" w:rsidR="00075C19" w:rsidRPr="00075C19" w:rsidRDefault="00075C19" w:rsidP="00075C19">
            <w:pPr>
              <w:widowControl/>
              <w:autoSpaceDE/>
              <w:autoSpaceDN/>
              <w:adjustRightInd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C19">
              <w:rPr>
                <w:rFonts w:ascii="Times New Roman" w:hAnsi="Times New Roman"/>
                <w:sz w:val="28"/>
                <w:szCs w:val="28"/>
              </w:rPr>
              <w:t xml:space="preserve">       - справки ф.0503125 «Справка по консолидируемым расчетам» по счетам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120551000, </w:t>
            </w:r>
            <w:r w:rsidRPr="00075C19">
              <w:rPr>
                <w:rFonts w:ascii="Times New Roman" w:hAnsi="Times New Roman"/>
                <w:sz w:val="28"/>
                <w:szCs w:val="28"/>
              </w:rPr>
              <w:t>120561000, 120561561, 120561661, 120651000, 120654000, 120654561, 120654661, 120711000, 120711541, 120711641, 120721000, 120721541, 120721641, 120731000, 120731541, 120731641, 130111000, 130111710, 130111810, 130121000, 130121710, 130121810, 130131000, 130131710, 130131810. 130251000, 130251831, 130254000, 130254831, 130305000, 130305731, 130305831, 130406000, 140110161, 140120254, 140140151, 140140161, М40110189, М40110191, М40110195, 140120241, 140120281, 140141000, 140149000.</w:t>
            </w:r>
          </w:p>
          <w:p w14:paraId="498D2195" w14:textId="77777777" w:rsidR="003A5FD9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  <w:p w14:paraId="464E1E15" w14:textId="77777777" w:rsidR="00075C19" w:rsidRDefault="00075C1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  <w:p w14:paraId="3DE4D403" w14:textId="77777777" w:rsidR="00075C19" w:rsidRDefault="00075C1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  <w:p w14:paraId="0EA63C67" w14:textId="77777777" w:rsidR="00075C19" w:rsidRPr="00CE408E" w:rsidRDefault="00075C1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</w:tr>
      <w:tr w:rsidR="003A5FD9" w:rsidRPr="00CE408E" w14:paraId="6322E8B0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05E77B4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E408E" w14:paraId="1EC72E01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D459FE6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03140CFB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>Информация по каждой группе финансовых активов и финансовых обязательств о стоимости поступивших (выбывших) финансовых активов и финансовых обязательств с выделением стоимости финансовых активов (финансовых обязательств), поступивших (переданных) от иной организации бюджетной сферы</w:t>
            </w:r>
          </w:p>
          <w:p w14:paraId="3342A52B" w14:textId="77777777" w:rsidR="003A5FD9" w:rsidRPr="00CE408E" w:rsidRDefault="003A5FD9" w:rsidP="00C00649">
            <w:pPr>
              <w:ind w:right="-142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E408E" w14:paraId="624CC6EB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A3C9C80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На конец 2025 года поступление (выбытие) финансовых активов и финансовых обязательств от иной организации бюджетной сферы отсутствуют.</w:t>
            </w:r>
          </w:p>
        </w:tc>
      </w:tr>
      <w:tr w:rsidR="003A5FD9" w:rsidRPr="00CE408E" w14:paraId="3951F511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6781F35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E408E" w14:paraId="59247B0C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8336B97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07B32E3D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>Информация по каждой группе финансовых активов и финансовых обязательств о сумме финансовой дебиторской задолженности, признанной в отчетном периоде сомнительной задолженностью</w:t>
            </w:r>
          </w:p>
          <w:p w14:paraId="00019E59" w14:textId="77777777" w:rsidR="003A5FD9" w:rsidRPr="00CE408E" w:rsidRDefault="003A5FD9" w:rsidP="00C00649">
            <w:pPr>
              <w:ind w:right="-142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E408E" w14:paraId="4DAF42DD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7915679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На конец 2025 </w:t>
            </w:r>
            <w:proofErr w:type="gramStart"/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года  дебиторская</w:t>
            </w:r>
            <w:proofErr w:type="gramEnd"/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 задолженность </w:t>
            </w:r>
            <w:proofErr w:type="spellStart"/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признаная</w:t>
            </w:r>
            <w:proofErr w:type="spellEnd"/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 сомнительной - нереальной к взысканию отсутствует.</w:t>
            </w:r>
          </w:p>
        </w:tc>
      </w:tr>
      <w:tr w:rsidR="003A5FD9" w:rsidRPr="00CE408E" w14:paraId="6C9096D0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7A4E922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E408E" w14:paraId="52F6C0D3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1F6A520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6E295DF7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>Раскрытие информации о финансовых результатах операций с финансовыми инструментами, сформированных за отчетный период, осуществляется по соответствующим статьям (подстатьям) кодов классификации операций сектора государственного управления группы 100 «Доходы» и 200 «Расходы» классификации операций сектора государственного управления</w:t>
            </w:r>
          </w:p>
          <w:p w14:paraId="4406C66B" w14:textId="77777777" w:rsidR="003A5FD9" w:rsidRPr="00CE408E" w:rsidRDefault="003A5FD9" w:rsidP="00C00649">
            <w:pPr>
              <w:ind w:right="-142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E408E" w14:paraId="252F18F4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F504334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Информация представлена в Отчете о финансовых результатах </w:t>
            </w:r>
            <w:proofErr w:type="gramStart"/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деятельности  (</w:t>
            </w:r>
            <w:proofErr w:type="gramEnd"/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ф. 0503121)</w:t>
            </w:r>
          </w:p>
        </w:tc>
      </w:tr>
      <w:tr w:rsidR="003A5FD9" w:rsidRPr="00CE408E" w14:paraId="2E5B930F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ADD142C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E408E" w14:paraId="47B549BF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A256D56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58E02946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>Дополнительная информация по долговым обязательствам, по которым в отчетном периоде допущено неисполнение (нарушение исполнения) обязательств: сумма неисполненных (исполненных с нарушением сроков погашения) обязательств по погашению основного долга и (или) по оплате начисленных процентов; сумма долговых обязательств, по которым изменены условия их погашения (исполнения) в результате допущенного неисполнения (нарушения исполнения) обязательств в отчетном периоде</w:t>
            </w:r>
          </w:p>
          <w:p w14:paraId="2A9C42A4" w14:textId="77777777" w:rsidR="003A5FD9" w:rsidRPr="00CE408E" w:rsidRDefault="003A5FD9" w:rsidP="00C00649">
            <w:pPr>
              <w:ind w:right="-142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E408E" w14:paraId="3B85F22F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0DAF8C2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На конец 2025 года операции по долговым обязательствам отсутствуют</w:t>
            </w:r>
          </w:p>
        </w:tc>
      </w:tr>
      <w:tr w:rsidR="003A5FD9" w:rsidRPr="00CE408E" w14:paraId="121CA3EF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CA8C866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E408E" w14:paraId="4FE57EA6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FC9C81C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2B0ED488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>Информация по объектам нематериальных активов с определенным сроком полезного использования с подразделением на объекты нематериальных активов, созданные силами субъекта учета, и прочие объекты нематериальных активов, с обязательным выделением лицензионных соглашений: используемые методы определения сроков полезного использования; используемые методы начисления амортизации</w:t>
            </w:r>
          </w:p>
          <w:p w14:paraId="72FC30B5" w14:textId="77777777" w:rsidR="003A5FD9" w:rsidRPr="00CE408E" w:rsidRDefault="003A5FD9" w:rsidP="00C00649">
            <w:pPr>
              <w:ind w:right="-142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E408E" w14:paraId="3B9BE87F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238798D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На конец 2025 года объекты НМА с определенным сроком полезного использования отсутствуют.</w:t>
            </w:r>
          </w:p>
        </w:tc>
      </w:tr>
      <w:tr w:rsidR="003A5FD9" w:rsidRPr="00CE408E" w14:paraId="2DA8127B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733148B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E408E" w14:paraId="1A3AAA49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3D9C76F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74C4C37D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lastRenderedPageBreak/>
              <w:t>Общее описание существенной информации об объектах учета аренды: наличие условий продления срока пользования имуществом и условий о праве покупки (выкупа) используемого имущества (объекта учета аренды), положений о повышения арендных платежей, в том числе цены выкупа; основные принципы определения расходов (доходов) по условным арендным платежам; любые ограничения, предусмотренные договором аренды (имущественного найма) или договором безвозмездного пользования</w:t>
            </w:r>
          </w:p>
          <w:p w14:paraId="3B8C8E44" w14:textId="77777777" w:rsidR="003A5FD9" w:rsidRPr="00CE408E" w:rsidRDefault="003A5FD9" w:rsidP="00C00649">
            <w:pPr>
              <w:ind w:right="-142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E408E" w14:paraId="34D9FECC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7A3755B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lastRenderedPageBreak/>
              <w:t xml:space="preserve">На конец 2025 </w:t>
            </w:r>
            <w:proofErr w:type="gramStart"/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года  у</w:t>
            </w:r>
            <w:proofErr w:type="gramEnd"/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  ВМО Даниловский объекты учета аренды отсутствуют.</w:t>
            </w:r>
          </w:p>
        </w:tc>
      </w:tr>
      <w:tr w:rsidR="003A5FD9" w:rsidRPr="00CE408E" w14:paraId="5D56AB25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A10B0AD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E408E" w14:paraId="68DEB58F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0F0A386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0ABE39E7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>Дополнительная информация для каждой подгруппы объектов нематериальных активов: наличие и размер ограничений прав собственности или иных предоставленных прав; стоимость объектов нематериальных активов, которые субъект учета не вправе использовать в качестве обеспечения исполнения своих обязательств; перечень объектов нематериальных активов, переданных в качестве обеспечения исполнения обязательств субъекта учета, и их остаточную стоимость на начало и конец отчетного периода; сумма договорных обязательств по приобретению объектов нематериальных активов на конец отчетного периода</w:t>
            </w:r>
          </w:p>
          <w:p w14:paraId="3EC00DD0" w14:textId="77777777" w:rsidR="003A5FD9" w:rsidRPr="00CE408E" w:rsidRDefault="003A5FD9" w:rsidP="00C00649">
            <w:pPr>
              <w:ind w:right="-142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E408E" w14:paraId="5CAE47A5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2E8165A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Дополнительная информация для каждой подгруппы объектов нематериальных </w:t>
            </w:r>
            <w:proofErr w:type="gramStart"/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активов  в</w:t>
            </w:r>
            <w:proofErr w:type="gramEnd"/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 отчетном периоде отсутствует.</w:t>
            </w:r>
          </w:p>
        </w:tc>
      </w:tr>
      <w:tr w:rsidR="003A5FD9" w:rsidRPr="00CE408E" w14:paraId="7705EC3E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4FF73B0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E408E" w14:paraId="42C47F0F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9450767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2839BE14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>Характер и последствия изменений в оценках объектов нематериальных активов, оказывающих влияние в отчетном периоде, либо которые будут оказывать влияние в последующие периоды в отношении сроков полезного использования и методов начисления амортизации объектов нематериального актива</w:t>
            </w:r>
          </w:p>
          <w:p w14:paraId="4A3DDFEE" w14:textId="77777777" w:rsidR="003A5FD9" w:rsidRPr="00CE408E" w:rsidRDefault="003A5FD9" w:rsidP="00C00649">
            <w:pPr>
              <w:ind w:right="-142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E408E" w14:paraId="6B38215B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74B34E0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>Изменений в оценках объектов нематериальных активов, оказывающих влияние в отчетном периоде, либо оказывающих влияние в последующие периоды в отношении сроков полезного использования и методов начисления амортизации объектов нематериального актива в отчетном периоде не было.</w:t>
            </w:r>
          </w:p>
        </w:tc>
      </w:tr>
      <w:tr w:rsidR="003A5FD9" w:rsidRPr="00CE408E" w14:paraId="243A3520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36491CC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E408E" w14:paraId="2FE8C4D4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814C352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szCs w:val="24"/>
                <w:lang w:eastAsia="en-US"/>
              </w:rPr>
            </w:pPr>
          </w:p>
          <w:p w14:paraId="7F96118D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b/>
                <w:szCs w:val="24"/>
                <w:lang w:eastAsia="en-US"/>
              </w:rPr>
            </w:pPr>
            <w:r w:rsidRPr="00CE408E">
              <w:rPr>
                <w:rFonts w:ascii="Times New Roman" w:hAnsi="Times New Roman"/>
                <w:b/>
                <w:szCs w:val="24"/>
                <w:lang w:eastAsia="en-US"/>
              </w:rPr>
              <w:t>Иная финансовая и нефинансовая информация, оказавшая существенное влияние на результаты деятельности субъекта бюджетной отчетности и необходимая для понимания пользователями бухгалтерской отчетности финансового положения, финансовых результатов деятельности и движения денежных средств субъекта отчетности за отчетный период, а также иная информация, характеризующая показатели бухгалтерской отчетности, не нашедшая отражения в таблицах и приложениях, включаемых в раздел</w:t>
            </w:r>
          </w:p>
          <w:p w14:paraId="3B2C5C96" w14:textId="77777777" w:rsidR="003A5FD9" w:rsidRPr="00CE408E" w:rsidRDefault="003A5FD9" w:rsidP="00C00649">
            <w:pPr>
              <w:ind w:right="-142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3A5FD9" w:rsidRPr="00CE408E" w14:paraId="76D8E9D0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FD3C6CB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В ВМО Даниловский бухгалтерский учет организован на основании Федерального закона от 06 декабря 2011 года № 402-ФЗ «О бухгалтерском учете», учетной политикой ВМО Даниловский, утвержденной распоряжением ВМО Даниловский от 15.04.2022 года №02-01-05-11. Настоящая отчетность составлена в соответствии с приказами Министерства финансов Российской Федерации от 28.12.2010 № 191н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 и приказом Департамента финансов города Москвы  от 15.12.2025 № 251ф «О сроках представления в Департамент финансов города Москвы  годовой отчетности об исполнении бюджетов, сводной годовой бухгалтерской отчетности государственных </w:t>
            </w: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lastRenderedPageBreak/>
              <w:t xml:space="preserve">(муниципальных) бюджетных и автономных учреждений за 2025 год и отчетные периоды 2026 года".  В целях автоматизации бухучета используются программный продукт 1С Предприятие. Кассовое обслуживание исполнения бюджета осуществляется Управлением Федерального казначейства по г. Москве в соответствии с Регламентом №960012/П-1 от 24.12.2019 года и Соглашением от 01.11.2011 года.  </w:t>
            </w:r>
          </w:p>
          <w:p w14:paraId="4A7E220D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На конец отчетного периода остаток средств на едином счете бюджета составил 43 663 085,08 рублей. </w:t>
            </w:r>
          </w:p>
          <w:p w14:paraId="63ED316D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В течении отчетного периода оборот по КБК 2 08 03000 03 0000 150 составил 142 885,68 рублей. </w:t>
            </w:r>
          </w:p>
          <w:p w14:paraId="1D8E013C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 w:cs="Calibri"/>
                <w:color w:val="000000"/>
                <w:szCs w:val="24"/>
                <w:lang w:eastAsia="en-US"/>
              </w:rPr>
            </w:pPr>
            <w:r w:rsidRPr="00CE408E">
              <w:rPr>
                <w:rFonts w:ascii="Times New Roman" w:hAnsi="Times New Roman" w:cs="Calibri"/>
                <w:color w:val="000000"/>
                <w:szCs w:val="24"/>
                <w:lang w:eastAsia="en-US"/>
              </w:rPr>
              <w:t xml:space="preserve">В течении отчетного периода оборот по КБК 1 17 01030 03 0000 180 «Невыясненные поступления, зачисляемые в бюджеты внутригородских муниципальных образований городов федерального значения» составил 94 999,20 рублей. </w:t>
            </w:r>
          </w:p>
          <w:p w14:paraId="6BD21E15" w14:textId="77777777" w:rsidR="003A5FD9" w:rsidRPr="00CE408E" w:rsidRDefault="003A5FD9" w:rsidP="00C00649">
            <w:pPr>
              <w:ind w:right="35"/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</w:tr>
      <w:tr w:rsidR="003A5FD9" w:rsidRPr="00CE408E" w14:paraId="50092DB2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A8EB6D6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  <w:tr w:rsidR="003A5FD9" w:rsidRPr="00CE408E" w14:paraId="08C15309" w14:textId="77777777" w:rsidTr="00C006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B2AEC8B" w14:textId="77777777" w:rsidR="003A5FD9" w:rsidRPr="00CE408E" w:rsidRDefault="003A5FD9" w:rsidP="00C00649">
            <w:pPr>
              <w:ind w:right="-142"/>
              <w:jc w:val="both"/>
              <w:rPr>
                <w:rFonts w:ascii="Times New Roman" w:hAnsi="Times New Roman" w:cs="Calibri"/>
                <w:color w:val="000000"/>
                <w:sz w:val="28"/>
                <w:szCs w:val="24"/>
                <w:lang w:eastAsia="en-US"/>
              </w:rPr>
            </w:pPr>
          </w:p>
        </w:tc>
      </w:tr>
    </w:tbl>
    <w:p w14:paraId="42AD7C5A" w14:textId="77777777" w:rsidR="003A5FD9" w:rsidRDefault="003A5FD9">
      <w:pPr>
        <w:jc w:val="both"/>
        <w:rPr>
          <w:rFonts w:ascii="Times New Roman CYR" w:hAnsi="Times New Roman CYR" w:cs="Times New Roman CYR"/>
          <w:color w:val="004DBB"/>
          <w:sz w:val="22"/>
          <w:szCs w:val="24"/>
          <w:lang w:eastAsia="en-US"/>
        </w:rPr>
      </w:pPr>
    </w:p>
    <w:p w14:paraId="4C9851B4" w14:textId="77777777" w:rsidR="00BD06AF" w:rsidRPr="00BD06AF" w:rsidRDefault="00BD06AF" w:rsidP="00BD06AF">
      <w:pPr>
        <w:rPr>
          <w:rFonts w:ascii="Times New Roman CYR" w:hAnsi="Times New Roman CYR" w:cs="Times New Roman CYR"/>
          <w:sz w:val="22"/>
          <w:szCs w:val="24"/>
          <w:lang w:eastAsia="en-US"/>
        </w:rPr>
      </w:pPr>
    </w:p>
    <w:p w14:paraId="68FBE0D4" w14:textId="77777777" w:rsidR="00BD06AF" w:rsidRPr="00BD06AF" w:rsidRDefault="00BD06AF" w:rsidP="00BD06AF">
      <w:pPr>
        <w:rPr>
          <w:rFonts w:ascii="Times New Roman CYR" w:hAnsi="Times New Roman CYR" w:cs="Times New Roman CYR"/>
          <w:sz w:val="22"/>
          <w:szCs w:val="24"/>
          <w:lang w:eastAsia="en-US"/>
        </w:rPr>
      </w:pPr>
    </w:p>
    <w:p w14:paraId="1CA0A1BB" w14:textId="77777777" w:rsidR="00BD06AF" w:rsidRPr="00BD06AF" w:rsidRDefault="00BD06AF" w:rsidP="00BD06AF">
      <w:pPr>
        <w:rPr>
          <w:rFonts w:ascii="Times New Roman CYR" w:hAnsi="Times New Roman CYR" w:cs="Times New Roman CYR"/>
          <w:sz w:val="22"/>
          <w:szCs w:val="24"/>
          <w:lang w:eastAsia="en-US"/>
        </w:rPr>
      </w:pPr>
    </w:p>
    <w:p w14:paraId="12D67FA9" w14:textId="5B65DA6E" w:rsidR="00BD06AF" w:rsidRDefault="00BD06AF" w:rsidP="00BD06AF">
      <w:pPr>
        <w:tabs>
          <w:tab w:val="left" w:pos="2265"/>
        </w:tabs>
        <w:rPr>
          <w:rFonts w:ascii="Times New Roman CYR" w:hAnsi="Times New Roman CYR" w:cs="Times New Roman CYR"/>
          <w:color w:val="004DBB"/>
          <w:sz w:val="22"/>
          <w:szCs w:val="24"/>
          <w:lang w:eastAsia="en-US"/>
        </w:rPr>
      </w:pPr>
    </w:p>
    <w:p w14:paraId="0DD1E468" w14:textId="49EC2AEB" w:rsidR="00BD06AF" w:rsidRPr="00BD06AF" w:rsidRDefault="00BD06AF" w:rsidP="00BD06AF">
      <w:pPr>
        <w:tabs>
          <w:tab w:val="left" w:pos="2265"/>
        </w:tabs>
        <w:rPr>
          <w:rFonts w:ascii="Times New Roman CYR" w:hAnsi="Times New Roman CYR" w:cs="Times New Roman CYR"/>
          <w:sz w:val="22"/>
          <w:szCs w:val="24"/>
          <w:lang w:eastAsia="en-US"/>
        </w:rPr>
        <w:sectPr w:rsidR="00BD06AF" w:rsidRPr="00BD06AF">
          <w:pgSz w:w="12240" w:h="15840"/>
          <w:pgMar w:top="1134" w:right="1701" w:bottom="1134" w:left="819" w:header="720" w:footer="720" w:gutter="0"/>
          <w:cols w:space="720"/>
          <w:noEndnote/>
        </w:sectPr>
      </w:pPr>
      <w:r>
        <w:rPr>
          <w:rFonts w:ascii="Times New Roman CYR" w:hAnsi="Times New Roman CYR" w:cs="Times New Roman CYR"/>
          <w:sz w:val="22"/>
          <w:szCs w:val="24"/>
          <w:lang w:eastAsia="en-US"/>
        </w:rPr>
        <w:tab/>
      </w:r>
    </w:p>
    <w:p w14:paraId="07481A81" w14:textId="77777777" w:rsidR="003A5FD9" w:rsidRPr="00CE408E" w:rsidRDefault="003A5FD9" w:rsidP="00BD06AF">
      <w:pPr>
        <w:jc w:val="both"/>
        <w:rPr>
          <w:rFonts w:ascii="Times New Roman CYR" w:hAnsi="Times New Roman CYR" w:cs="Times New Roman CYR"/>
          <w:color w:val="004DBB"/>
          <w:sz w:val="22"/>
          <w:szCs w:val="24"/>
          <w:lang w:eastAsia="en-US"/>
        </w:rPr>
      </w:pPr>
    </w:p>
    <w:sectPr w:rsidR="003A5FD9" w:rsidRPr="00CE408E">
      <w:pgSz w:w="15840" w:h="12240" w:orient="landscape"/>
      <w:pgMar w:top="1134" w:right="819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49"/>
    <w:rsid w:val="00075C19"/>
    <w:rsid w:val="003A5FD9"/>
    <w:rsid w:val="00414FB1"/>
    <w:rsid w:val="004B76AA"/>
    <w:rsid w:val="004C73DB"/>
    <w:rsid w:val="004F5D84"/>
    <w:rsid w:val="0085275D"/>
    <w:rsid w:val="008B6DEB"/>
    <w:rsid w:val="00BD06AF"/>
    <w:rsid w:val="00C00649"/>
    <w:rsid w:val="00CE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73FFB"/>
  <w14:defaultImageDpi w14:val="0"/>
  <w15:docId w15:val="{C50044BD-1062-4730-8CD9-F1E801FE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alibri" w:hAnsi="Calibr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uiPriority w:val="99"/>
    <w:rPr>
      <w:rFonts w:ascii="Times New Roman" w:eastAsia="Times New Roman" w:hAnsi="Times New Roman" w:cs="Times New Roman"/>
      <w:szCs w:val="22"/>
    </w:rPr>
  </w:style>
  <w:style w:type="character" w:styleId="a4">
    <w:name w:val="Hyperlink"/>
    <w:uiPriority w:val="99"/>
    <w:rPr>
      <w:rFonts w:ascii="Times New Roman" w:eastAsia="Times New Roman" w:hAnsi="Times New Roman" w:cs="Times New Roman"/>
      <w:color w:val="0000FF"/>
      <w:szCs w:val="22"/>
      <w:u w:val="single"/>
    </w:rPr>
  </w:style>
  <w:style w:type="character" w:customStyle="1" w:styleId="style461">
    <w:name w:val="style461"/>
    <w:uiPriority w:val="99"/>
    <w:rPr>
      <w:rFonts w:ascii="Times New Roman" w:eastAsia="Times New Roman" w:hAnsi="Times New Roman" w:cs="Times New Roman"/>
      <w:szCs w:val="15"/>
    </w:rPr>
  </w:style>
  <w:style w:type="table" w:styleId="1">
    <w:name w:val="Table Simple 1"/>
    <w:basedOn w:val="a1"/>
    <w:uiPriority w:val="99"/>
    <w:pPr>
      <w:widowControl w:val="0"/>
      <w:autoSpaceDE w:val="0"/>
      <w:autoSpaceDN w:val="0"/>
      <w:adjustRightInd w:val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27</Pages>
  <Words>6017</Words>
  <Characters>43667</Characters>
  <Application>Microsoft Office Word</Application>
  <DocSecurity>0</DocSecurity>
  <Lines>363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 Петр Александрович</dc:creator>
  <cp:keywords/>
  <dc:description/>
  <cp:lastModifiedBy>user</cp:lastModifiedBy>
  <cp:revision>7</cp:revision>
  <dcterms:created xsi:type="dcterms:W3CDTF">2026-03-02T08:10:00Z</dcterms:created>
  <dcterms:modified xsi:type="dcterms:W3CDTF">2026-04-06T06:14:00Z</dcterms:modified>
</cp:coreProperties>
</file>